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FB2" w:rsidRDefault="00EF1FB2" w:rsidP="00EF1FB2">
      <w:pPr>
        <w:pStyle w:val="Heading3"/>
        <w:spacing w:before="720"/>
        <w:rPr>
          <w:b/>
          <w:sz w:val="36"/>
          <w:szCs w:val="36"/>
        </w:rPr>
      </w:pPr>
      <w:r>
        <w:rPr>
          <w:noProof/>
        </w:rPr>
        <w:drawing>
          <wp:inline distT="0" distB="0" distL="0" distR="0" wp14:anchorId="1E2FA87D" wp14:editId="255F729E">
            <wp:extent cx="1717675" cy="1121410"/>
            <wp:effectExtent l="0" t="0" r="0" b="0"/>
            <wp:docPr id="2" name="Picture 2"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7675" cy="1121410"/>
                    </a:xfrm>
                    <a:prstGeom prst="rect">
                      <a:avLst/>
                    </a:prstGeom>
                    <a:noFill/>
                    <a:ln>
                      <a:noFill/>
                    </a:ln>
                  </pic:spPr>
                </pic:pic>
              </a:graphicData>
            </a:graphic>
          </wp:inline>
        </w:drawing>
      </w:r>
    </w:p>
    <w:p w:rsidR="00193F10" w:rsidRPr="00EF1FB2" w:rsidRDefault="00193F10" w:rsidP="00EF1FB2">
      <w:pPr>
        <w:pStyle w:val="Heading3"/>
        <w:spacing w:before="480"/>
        <w:rPr>
          <w:b/>
          <w:sz w:val="36"/>
          <w:szCs w:val="36"/>
        </w:rPr>
      </w:pPr>
      <w:r w:rsidRPr="00EF1FB2">
        <w:rPr>
          <w:b/>
          <w:sz w:val="36"/>
          <w:szCs w:val="36"/>
        </w:rPr>
        <w:t>TECHNICAL EVALUATION</w:t>
      </w:r>
    </w:p>
    <w:p w:rsidR="00193F10" w:rsidRPr="00EF1FB2" w:rsidRDefault="00A64F23" w:rsidP="00194AA6">
      <w:pPr>
        <w:jc w:val="center"/>
        <w:rPr>
          <w:b/>
          <w:sz w:val="36"/>
          <w:szCs w:val="36"/>
        </w:rPr>
      </w:pPr>
      <w:r w:rsidRPr="00EF1FB2">
        <w:rPr>
          <w:b/>
          <w:sz w:val="36"/>
          <w:szCs w:val="36"/>
        </w:rPr>
        <w:t>AND</w:t>
      </w:r>
    </w:p>
    <w:p w:rsidR="00193F10" w:rsidRPr="00EF1FB2" w:rsidRDefault="00193F10" w:rsidP="00194AA6">
      <w:pPr>
        <w:jc w:val="center"/>
        <w:rPr>
          <w:b/>
          <w:sz w:val="36"/>
          <w:szCs w:val="36"/>
        </w:rPr>
      </w:pPr>
      <w:r w:rsidRPr="00EF1FB2">
        <w:rPr>
          <w:b/>
          <w:sz w:val="36"/>
          <w:szCs w:val="36"/>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8257EF" w:rsidRDefault="00194AA6" w:rsidP="00194AA6">
      <w:pPr>
        <w:pStyle w:val="Heading4"/>
        <w:spacing w:after="120"/>
        <w:rPr>
          <w:bCs/>
          <w:szCs w:val="22"/>
        </w:rPr>
      </w:pPr>
      <w:r w:rsidRPr="008257EF">
        <w:rPr>
          <w:bCs/>
          <w:szCs w:val="22"/>
        </w:rPr>
        <w:t>APPLICANT</w:t>
      </w:r>
    </w:p>
    <w:p w:rsidR="008257EF" w:rsidRPr="008257EF" w:rsidRDefault="005120C9" w:rsidP="00194AA6">
      <w:pPr>
        <w:widowControl w:val="0"/>
        <w:jc w:val="center"/>
        <w:rPr>
          <w:sz w:val="22"/>
          <w:szCs w:val="22"/>
        </w:rPr>
      </w:pPr>
      <w:r>
        <w:rPr>
          <w:sz w:val="22"/>
          <w:szCs w:val="22"/>
        </w:rPr>
        <w:t>Orlando Utilities Commission</w:t>
      </w:r>
    </w:p>
    <w:p w:rsidR="00A300C9" w:rsidRPr="00C9472A" w:rsidRDefault="005120C9" w:rsidP="00A300C9">
      <w:pPr>
        <w:widowControl w:val="0"/>
        <w:jc w:val="center"/>
        <w:rPr>
          <w:sz w:val="22"/>
          <w:szCs w:val="22"/>
        </w:rPr>
      </w:pPr>
      <w:r>
        <w:rPr>
          <w:sz w:val="22"/>
          <w:szCs w:val="22"/>
        </w:rPr>
        <w:t>Reliable Plaza</w:t>
      </w:r>
    </w:p>
    <w:p w:rsidR="00A300C9" w:rsidRPr="00C9472A" w:rsidRDefault="005120C9" w:rsidP="00A300C9">
      <w:pPr>
        <w:widowControl w:val="0"/>
        <w:jc w:val="center"/>
        <w:rPr>
          <w:sz w:val="22"/>
          <w:szCs w:val="22"/>
        </w:rPr>
      </w:pPr>
      <w:r w:rsidRPr="00E73309">
        <w:t>100 West Anderson Street</w:t>
      </w:r>
    </w:p>
    <w:p w:rsidR="00194AA6" w:rsidRPr="008257EF" w:rsidRDefault="005120C9" w:rsidP="005120C9">
      <w:pPr>
        <w:widowControl w:val="0"/>
        <w:spacing w:after="120"/>
        <w:jc w:val="center"/>
        <w:rPr>
          <w:sz w:val="22"/>
          <w:szCs w:val="22"/>
        </w:rPr>
      </w:pPr>
      <w:r w:rsidRPr="00E73309">
        <w:t>Orlando, Florida  32801</w:t>
      </w:r>
    </w:p>
    <w:p w:rsidR="00194AA6" w:rsidRPr="008257EF" w:rsidRDefault="005120C9" w:rsidP="00194AA6">
      <w:pPr>
        <w:widowControl w:val="0"/>
        <w:jc w:val="center"/>
        <w:rPr>
          <w:sz w:val="22"/>
          <w:szCs w:val="22"/>
        </w:rPr>
      </w:pPr>
      <w:r>
        <w:rPr>
          <w:sz w:val="22"/>
          <w:szCs w:val="22"/>
        </w:rPr>
        <w:t>Indian River</w:t>
      </w:r>
      <w:r w:rsidR="00A300C9">
        <w:rPr>
          <w:sz w:val="22"/>
          <w:szCs w:val="22"/>
        </w:rPr>
        <w:t xml:space="preserve"> Plant</w:t>
      </w:r>
    </w:p>
    <w:p w:rsidR="00194AA6" w:rsidRPr="008257EF" w:rsidRDefault="00194AA6" w:rsidP="00194AA6">
      <w:pPr>
        <w:widowControl w:val="0"/>
        <w:jc w:val="center"/>
        <w:rPr>
          <w:sz w:val="22"/>
          <w:szCs w:val="22"/>
        </w:rPr>
      </w:pPr>
      <w:r w:rsidRPr="008257EF">
        <w:rPr>
          <w:sz w:val="22"/>
          <w:szCs w:val="22"/>
        </w:rPr>
        <w:t xml:space="preserve">Facility ID No. </w:t>
      </w:r>
      <w:r w:rsidR="004F1B2D" w:rsidRPr="00613F91">
        <w:rPr>
          <w:sz w:val="22"/>
          <w:szCs w:val="22"/>
        </w:rPr>
        <w:t>0</w:t>
      </w:r>
      <w:r w:rsidR="005120C9">
        <w:rPr>
          <w:sz w:val="22"/>
          <w:szCs w:val="22"/>
        </w:rPr>
        <w:t>090008</w:t>
      </w:r>
    </w:p>
    <w:p w:rsidR="00194AA6" w:rsidRPr="008257EF" w:rsidRDefault="00194AA6" w:rsidP="00194AA6">
      <w:pPr>
        <w:jc w:val="center"/>
        <w:rPr>
          <w:sz w:val="22"/>
          <w:szCs w:val="22"/>
        </w:rPr>
      </w:pPr>
    </w:p>
    <w:p w:rsidR="00194AA6" w:rsidRPr="008257EF" w:rsidRDefault="00194AA6" w:rsidP="00194AA6">
      <w:pPr>
        <w:jc w:val="center"/>
        <w:rPr>
          <w:sz w:val="22"/>
        </w:rPr>
      </w:pPr>
    </w:p>
    <w:p w:rsidR="00194AA6" w:rsidRPr="008257EF" w:rsidRDefault="00194AA6" w:rsidP="00194AA6">
      <w:pPr>
        <w:jc w:val="center"/>
        <w:rPr>
          <w:sz w:val="22"/>
        </w:rPr>
      </w:pPr>
    </w:p>
    <w:p w:rsidR="00193F10" w:rsidRPr="008257EF" w:rsidRDefault="00193F10" w:rsidP="00194AA6">
      <w:pPr>
        <w:pStyle w:val="Heading4"/>
        <w:spacing w:after="120"/>
        <w:rPr>
          <w:bCs/>
        </w:rPr>
      </w:pPr>
      <w:r w:rsidRPr="008257EF">
        <w:rPr>
          <w:bCs/>
        </w:rPr>
        <w:t>PROJECT</w:t>
      </w:r>
    </w:p>
    <w:p w:rsidR="00193F10" w:rsidRPr="008257EF" w:rsidRDefault="00474EB0" w:rsidP="005F1494">
      <w:pPr>
        <w:pStyle w:val="Heading1"/>
        <w:ind w:left="0"/>
        <w:jc w:val="center"/>
        <w:rPr>
          <w:sz w:val="22"/>
        </w:rPr>
      </w:pPr>
      <w:r>
        <w:rPr>
          <w:sz w:val="22"/>
        </w:rPr>
        <w:t xml:space="preserve">Permit </w:t>
      </w:r>
      <w:r w:rsidR="008B1ECB">
        <w:rPr>
          <w:sz w:val="22"/>
        </w:rPr>
        <w:t>Re</w:t>
      </w:r>
      <w:r w:rsidR="000E4A2E">
        <w:rPr>
          <w:sz w:val="22"/>
        </w:rPr>
        <w:t>vision</w:t>
      </w:r>
      <w:r w:rsidR="008B1ECB">
        <w:rPr>
          <w:sz w:val="22"/>
        </w:rPr>
        <w:t xml:space="preserve"> </w:t>
      </w:r>
      <w:r w:rsidR="00193F10" w:rsidRPr="008257EF">
        <w:rPr>
          <w:sz w:val="22"/>
        </w:rPr>
        <w:t xml:space="preserve">No. </w:t>
      </w:r>
      <w:r w:rsidR="004F1B2D" w:rsidRPr="00613F91">
        <w:rPr>
          <w:sz w:val="22"/>
          <w:szCs w:val="22"/>
        </w:rPr>
        <w:t>0</w:t>
      </w:r>
      <w:r w:rsidR="000E4A2E">
        <w:rPr>
          <w:sz w:val="22"/>
          <w:szCs w:val="22"/>
        </w:rPr>
        <w:t>090008-0</w:t>
      </w:r>
      <w:r w:rsidR="00033083">
        <w:rPr>
          <w:sz w:val="22"/>
          <w:szCs w:val="22"/>
        </w:rPr>
        <w:t>09</w:t>
      </w:r>
      <w:r w:rsidR="00A300C9">
        <w:rPr>
          <w:sz w:val="22"/>
          <w:szCs w:val="22"/>
        </w:rPr>
        <w:t>-AC</w:t>
      </w:r>
    </w:p>
    <w:p w:rsidR="000E4A2E" w:rsidRPr="000E4A2E" w:rsidRDefault="000E4A2E" w:rsidP="000E4A2E">
      <w:pPr>
        <w:jc w:val="center"/>
        <w:rPr>
          <w:sz w:val="22"/>
          <w:szCs w:val="22"/>
        </w:rPr>
      </w:pPr>
      <w:r w:rsidRPr="000E4A2E">
        <w:rPr>
          <w:sz w:val="22"/>
          <w:szCs w:val="22"/>
        </w:rPr>
        <w:t>Extended Cold Shutdown</w:t>
      </w: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0E4A2E" w:rsidRDefault="000E4A2E" w:rsidP="00194AA6">
      <w:pPr>
        <w:jc w:val="center"/>
        <w:rPr>
          <w:sz w:val="22"/>
          <w:szCs w:val="22"/>
        </w:rPr>
      </w:pPr>
      <w:r w:rsidRPr="000E4A2E">
        <w:rPr>
          <w:sz w:val="22"/>
          <w:szCs w:val="22"/>
        </w:rPr>
        <w:t>Brevard County</w:t>
      </w:r>
      <w:r w:rsidR="001D487F" w:rsidRPr="000E4A2E">
        <w:rPr>
          <w:sz w:val="22"/>
          <w:szCs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EE2068" w:rsidP="00194AA6">
      <w:pPr>
        <w:widowControl w:val="0"/>
        <w:jc w:val="center"/>
        <w:rPr>
          <w:sz w:val="22"/>
          <w:szCs w:val="22"/>
        </w:rPr>
      </w:pPr>
      <w:r>
        <w:rPr>
          <w:sz w:val="22"/>
          <w:szCs w:val="22"/>
        </w:rPr>
        <w:t>Office of Permitting and Compliance</w:t>
      </w:r>
    </w:p>
    <w:p w:rsidR="00194AA6" w:rsidRDefault="00194AA6" w:rsidP="00194AA6">
      <w:pPr>
        <w:widowControl w:val="0"/>
        <w:jc w:val="center"/>
        <w:rPr>
          <w:sz w:val="22"/>
          <w:szCs w:val="22"/>
        </w:rPr>
      </w:pPr>
      <w:r>
        <w:rPr>
          <w:sz w:val="22"/>
          <w:szCs w:val="22"/>
        </w:rPr>
        <w:t>2600 Blair Stone Road, MS</w:t>
      </w:r>
      <w:r w:rsidR="00924048">
        <w:rPr>
          <w:sz w:val="22"/>
          <w:szCs w:val="22"/>
        </w:rPr>
        <w:t xml:space="preserve"> </w:t>
      </w:r>
      <w:r>
        <w:rPr>
          <w:sz w:val="22"/>
          <w:szCs w:val="22"/>
        </w:rPr>
        <w:t>#5505</w:t>
      </w:r>
    </w:p>
    <w:p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country-region">
          <w:r>
            <w:rPr>
              <w:sz w:val="22"/>
              <w:szCs w:val="22"/>
            </w:rPr>
            <w:t>32399-2400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CF1516" w:rsidRDefault="000B0D81" w:rsidP="00194AA6">
      <w:pPr>
        <w:jc w:val="center"/>
        <w:rPr>
          <w:sz w:val="22"/>
          <w:szCs w:val="22"/>
        </w:rPr>
      </w:pPr>
      <w:r>
        <w:rPr>
          <w:sz w:val="22"/>
          <w:szCs w:val="22"/>
        </w:rPr>
        <w:t xml:space="preserve">July </w:t>
      </w:r>
      <w:r w:rsidR="00313419">
        <w:rPr>
          <w:sz w:val="22"/>
          <w:szCs w:val="22"/>
        </w:rPr>
        <w:t>2</w:t>
      </w:r>
      <w:r w:rsidR="001A3C76" w:rsidRPr="00CB6CAF">
        <w:rPr>
          <w:sz w:val="22"/>
          <w:szCs w:val="22"/>
        </w:rPr>
        <w:t>, 201</w:t>
      </w:r>
      <w:r w:rsidR="00CB6CAF" w:rsidRPr="00CB6CAF">
        <w:rPr>
          <w:sz w:val="22"/>
          <w:szCs w:val="22"/>
        </w:rPr>
        <w:t>4</w:t>
      </w: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F16BC9">
          <w:pgSz w:w="12240" w:h="15840" w:code="1"/>
          <w:pgMar w:top="720" w:right="1080" w:bottom="720" w:left="1080" w:header="720" w:footer="720" w:gutter="0"/>
          <w:pgNumType w:start="1"/>
          <w:cols w:space="720"/>
        </w:sectPr>
      </w:pPr>
    </w:p>
    <w:p w:rsidR="00193F10" w:rsidRPr="00EF1FB2" w:rsidRDefault="00193F10" w:rsidP="00294FCF">
      <w:pPr>
        <w:pStyle w:val="ListParagraph"/>
        <w:numPr>
          <w:ilvl w:val="0"/>
          <w:numId w:val="19"/>
        </w:numPr>
        <w:spacing w:after="120"/>
        <w:ind w:left="720" w:hanging="720"/>
        <w:contextualSpacing w:val="0"/>
        <w:rPr>
          <w:b/>
          <w:caps/>
          <w:sz w:val="22"/>
        </w:rPr>
      </w:pPr>
      <w:r w:rsidRPr="00EF1FB2">
        <w:rPr>
          <w:b/>
          <w:caps/>
          <w:sz w:val="22"/>
        </w:rPr>
        <w:lastRenderedPageBreak/>
        <w:t>General Project INFORMATION</w:t>
      </w:r>
    </w:p>
    <w:p w:rsidR="00EE6112" w:rsidRPr="00EF1FB2" w:rsidRDefault="00EE6112" w:rsidP="00EF1FB2">
      <w:pPr>
        <w:pStyle w:val="ListParagraph"/>
        <w:numPr>
          <w:ilvl w:val="1"/>
          <w:numId w:val="19"/>
        </w:numPr>
        <w:spacing w:after="120"/>
        <w:ind w:left="720" w:hanging="720"/>
        <w:rPr>
          <w:b/>
          <w:bCs/>
          <w:sz w:val="22"/>
          <w:szCs w:val="22"/>
        </w:rPr>
      </w:pPr>
      <w:r w:rsidRPr="00EF1FB2">
        <w:rPr>
          <w:b/>
          <w:bCs/>
          <w:sz w:val="22"/>
          <w:szCs w:val="22"/>
        </w:rPr>
        <w:t>Air Pollution Regulations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193F10" w:rsidRPr="00EF1FB2" w:rsidRDefault="00193F10" w:rsidP="00EF1FB2">
      <w:pPr>
        <w:pStyle w:val="ListParagraph"/>
        <w:numPr>
          <w:ilvl w:val="1"/>
          <w:numId w:val="19"/>
        </w:numPr>
        <w:spacing w:after="120"/>
        <w:ind w:left="720" w:hanging="720"/>
        <w:rPr>
          <w:b/>
          <w:bCs/>
          <w:sz w:val="22"/>
          <w:szCs w:val="22"/>
        </w:rPr>
      </w:pPr>
      <w:r w:rsidRPr="00EF1FB2">
        <w:rPr>
          <w:b/>
          <w:bCs/>
          <w:sz w:val="22"/>
          <w:szCs w:val="22"/>
        </w:rPr>
        <w:t>Facility Description and Location</w:t>
      </w:r>
    </w:p>
    <w:p w:rsidR="00E56C3C" w:rsidRDefault="008257EF" w:rsidP="004D1D9F">
      <w:pPr>
        <w:pStyle w:val="BodyText3"/>
        <w:numPr>
          <w:ilvl w:val="12"/>
          <w:numId w:val="0"/>
        </w:numPr>
        <w:spacing w:before="0"/>
      </w:pPr>
      <w:r w:rsidRPr="008257EF">
        <w:t>Th</w:t>
      </w:r>
      <w:r w:rsidR="009B27B8">
        <w:t xml:space="preserve">is facility </w:t>
      </w:r>
      <w:r w:rsidRPr="008257EF">
        <w:t>is an existing power plant</w:t>
      </w:r>
      <w:r w:rsidR="001D1649" w:rsidRPr="008257EF">
        <w:t xml:space="preserve">, which is categorized under </w:t>
      </w:r>
      <w:r w:rsidR="001D1649" w:rsidRPr="008257EF">
        <w:rPr>
          <w:bCs/>
        </w:rPr>
        <w:t xml:space="preserve">Standard Industrial Classification Code No. </w:t>
      </w:r>
      <w:r w:rsidRPr="008257EF">
        <w:rPr>
          <w:bCs/>
        </w:rPr>
        <w:t>4911</w:t>
      </w:r>
      <w:r w:rsidR="001D1649" w:rsidRPr="008257EF">
        <w:rPr>
          <w:bCs/>
        </w:rPr>
        <w:t xml:space="preserve">. </w:t>
      </w:r>
      <w:r w:rsidR="001C4E37" w:rsidRPr="008257EF">
        <w:t xml:space="preserve"> </w:t>
      </w:r>
      <w:r w:rsidR="008849DE">
        <w:rPr>
          <w:szCs w:val="22"/>
        </w:rPr>
        <w:t xml:space="preserve">.  </w:t>
      </w:r>
      <w:r w:rsidR="008849DE">
        <w:t>The existing Indian River Plant is located at US 1 and Kings Highway, Titusville, in Brevard County.  UTM Coordinates are:  Zone 17; 521.3 km East and 3151.7 km North.  Latitude is:  28° 29’ 36” North; and, Longitude is:  80° 46’ 57” West.</w:t>
      </w:r>
    </w:p>
    <w:p w:rsidR="00193F10" w:rsidRDefault="00193F10" w:rsidP="004D1D9F">
      <w:pPr>
        <w:pStyle w:val="BodyText3"/>
        <w:numPr>
          <w:ilvl w:val="12"/>
          <w:numId w:val="0"/>
        </w:numPr>
        <w:spacing w:before="0"/>
      </w:pPr>
      <w:r w:rsidRPr="00D222D5">
        <w:t>This</w:t>
      </w:r>
      <w:r w:rsidRPr="008257EF">
        <w:t xml:space="preserve"> site is in an area that is in attainment (or designated as unclassifiable) for all air</w:t>
      </w:r>
      <w:r w:rsidR="001D487F" w:rsidRPr="008257EF">
        <w:t xml:space="preserve"> pollutants subject to </w:t>
      </w:r>
      <w:r w:rsidR="00F71458" w:rsidRPr="008257EF">
        <w:t xml:space="preserve">state and federal </w:t>
      </w:r>
      <w:r w:rsidRPr="008257EF">
        <w:t>Ambient Air Quality Standard</w:t>
      </w:r>
      <w:r w:rsidR="001D487F" w:rsidRPr="008257EF">
        <w:t>s</w:t>
      </w:r>
      <w:r w:rsidR="00F71458" w:rsidRPr="008257EF">
        <w:t xml:space="preserve"> (</w:t>
      </w:r>
      <w:r w:rsidRPr="008257EF">
        <w:t>AAQS).</w:t>
      </w:r>
    </w:p>
    <w:p w:rsidR="00033083" w:rsidRPr="00A74F95" w:rsidRDefault="00033083" w:rsidP="00033083">
      <w:pPr>
        <w:spacing w:after="120"/>
        <w:rPr>
          <w:sz w:val="22"/>
          <w:szCs w:val="22"/>
        </w:rPr>
      </w:pPr>
      <w:r w:rsidRPr="00A74F95">
        <w:rPr>
          <w:sz w:val="22"/>
          <w:szCs w:val="22"/>
        </w:rPr>
        <w:t>The existing facility consists primarily of</w:t>
      </w:r>
      <w:r w:rsidRPr="00A74F95">
        <w:rPr>
          <w:b/>
          <w:sz w:val="22"/>
          <w:szCs w:val="22"/>
        </w:rPr>
        <w:t xml:space="preserve"> </w:t>
      </w:r>
      <w:r w:rsidRPr="00A74F95">
        <w:rPr>
          <w:sz w:val="22"/>
          <w:szCs w:val="22"/>
        </w:rPr>
        <w:t>three boilers and four combustion turbines.  Emissions units 001, 002 and 003 consist of three Combustion Engineering Steam Generators (boilers), with a combined electrical generation rating of 603 megawatt (MW) while firing natural gas or propane gas.  These emissions units are not equipped with add-on pollution control devices.  Unit 001 began operation on February 1, 1960; Unit 002 on September 1, 1964; and Unit 003 on February 1, 1974.</w:t>
      </w:r>
    </w:p>
    <w:p w:rsidR="00033083" w:rsidRPr="00A74F95" w:rsidRDefault="00033083" w:rsidP="00033083">
      <w:pPr>
        <w:spacing w:after="120"/>
        <w:rPr>
          <w:sz w:val="22"/>
          <w:szCs w:val="22"/>
        </w:rPr>
      </w:pPr>
      <w:r w:rsidRPr="00A74F95">
        <w:rPr>
          <w:sz w:val="22"/>
          <w:szCs w:val="22"/>
        </w:rPr>
        <w:t>Emissions units 004 and 007 (combustion turbines A and B) consist of simple cycle General Electric Frame 6 combustion turbines, each with a 35 MW rating.  Although the turbines primarily fire natural gas, distillate oil may be fired during periods of curtailed or uneconomical natural gas supply.  Nitrogen oxides emissions are reduced by using water injection.  Both turbines began commercial operation on August 1, 1990.</w:t>
      </w:r>
    </w:p>
    <w:p w:rsidR="00033083" w:rsidRPr="00A74F95" w:rsidRDefault="00033083" w:rsidP="00033083">
      <w:pPr>
        <w:pStyle w:val="Heading9"/>
        <w:ind w:left="0"/>
        <w:rPr>
          <w:b/>
          <w:bCs/>
          <w:u w:val="none"/>
        </w:rPr>
      </w:pPr>
      <w:r w:rsidRPr="00A74F95">
        <w:rPr>
          <w:szCs w:val="22"/>
          <w:u w:val="none"/>
        </w:rPr>
        <w:t>Emissions units 005 and 006 (combustion turbines C and</w:t>
      </w:r>
      <w:r w:rsidRPr="00A74F95">
        <w:rPr>
          <w:u w:val="none"/>
        </w:rPr>
        <w:t xml:space="preserve"> D) consist of simple cycle Westinghouse Model Number 501-D5 combustion turbines, each with a 129 MW rating.  The turbines primarily fire natural gas. Distillate oil may be fired during periods of curtailed or uneconomical natural gas supply.  Nitrogen oxides emissions are controlled by water injection.  Both turbines began commercial operation on </w:t>
      </w:r>
      <w:smartTag w:uri="urn:schemas-microsoft-com:office:smarttags" w:element="date">
        <w:smartTagPr>
          <w:attr w:name="Year" w:val="1991"/>
          <w:attr w:name="Day" w:val="1"/>
          <w:attr w:name="Month" w:val="11"/>
        </w:smartTagPr>
        <w:r w:rsidRPr="00A74F95">
          <w:rPr>
            <w:u w:val="none"/>
          </w:rPr>
          <w:t>November 1, 1991</w:t>
        </w:r>
      </w:smartTag>
      <w:r w:rsidRPr="00A74F95">
        <w:rPr>
          <w:u w:val="none"/>
        </w:rPr>
        <w:t>.</w:t>
      </w:r>
    </w:p>
    <w:p w:rsidR="00193F10" w:rsidRPr="00EF1FB2" w:rsidRDefault="001C4E37" w:rsidP="00294FCF">
      <w:pPr>
        <w:pStyle w:val="ListParagraph"/>
        <w:numPr>
          <w:ilvl w:val="1"/>
          <w:numId w:val="19"/>
        </w:numPr>
        <w:spacing w:after="60"/>
        <w:ind w:left="720" w:hanging="720"/>
        <w:contextualSpacing w:val="0"/>
        <w:rPr>
          <w:b/>
          <w:bCs/>
          <w:sz w:val="22"/>
          <w:szCs w:val="22"/>
        </w:rPr>
      </w:pPr>
      <w:r w:rsidRPr="00EF1FB2">
        <w:rPr>
          <w:b/>
          <w:bCs/>
          <w:sz w:val="22"/>
          <w:szCs w:val="22"/>
        </w:rPr>
        <w:t xml:space="preserve">Facility </w:t>
      </w:r>
      <w:r w:rsidR="00193F10" w:rsidRPr="00EF1FB2">
        <w:rPr>
          <w:b/>
          <w:bCs/>
          <w:sz w:val="22"/>
          <w:szCs w:val="22"/>
        </w:rPr>
        <w:t>Regulatory Categories</w:t>
      </w:r>
    </w:p>
    <w:p w:rsidR="00F71458" w:rsidRPr="002C5A84" w:rsidRDefault="00F71458" w:rsidP="00294FCF">
      <w:pPr>
        <w:numPr>
          <w:ilvl w:val="0"/>
          <w:numId w:val="3"/>
        </w:numPr>
        <w:spacing w:after="60"/>
        <w:rPr>
          <w:sz w:val="22"/>
          <w:szCs w:val="22"/>
        </w:rPr>
      </w:pPr>
      <w:r w:rsidRPr="002C5A84">
        <w:rPr>
          <w:sz w:val="22"/>
          <w:szCs w:val="22"/>
        </w:rPr>
        <w:t>The facility is</w:t>
      </w:r>
      <w:r w:rsidR="008257EF" w:rsidRPr="002C5A84">
        <w:rPr>
          <w:sz w:val="22"/>
          <w:szCs w:val="22"/>
        </w:rPr>
        <w:t xml:space="preserve"> </w:t>
      </w:r>
      <w:r w:rsidRPr="002C5A84">
        <w:rPr>
          <w:sz w:val="22"/>
          <w:szCs w:val="22"/>
        </w:rPr>
        <w:t>a major source of hazardous air pollutants (HAP).</w:t>
      </w:r>
    </w:p>
    <w:p w:rsidR="00F71458" w:rsidRPr="002C5A84" w:rsidRDefault="00F71458" w:rsidP="00294FCF">
      <w:pPr>
        <w:numPr>
          <w:ilvl w:val="0"/>
          <w:numId w:val="3"/>
        </w:numPr>
        <w:spacing w:after="60"/>
        <w:rPr>
          <w:sz w:val="22"/>
          <w:szCs w:val="22"/>
        </w:rPr>
      </w:pPr>
      <w:r w:rsidRPr="002C5A84">
        <w:rPr>
          <w:sz w:val="22"/>
          <w:szCs w:val="22"/>
        </w:rPr>
        <w:t>The facility is a Title V major source of air pollution in accordance with Chapter 213, F.A.C.</w:t>
      </w:r>
    </w:p>
    <w:p w:rsidR="00F71458" w:rsidRPr="002C5A84" w:rsidRDefault="00F71458" w:rsidP="00F71458">
      <w:pPr>
        <w:numPr>
          <w:ilvl w:val="0"/>
          <w:numId w:val="3"/>
        </w:numPr>
        <w:spacing w:after="120"/>
        <w:rPr>
          <w:sz w:val="22"/>
          <w:szCs w:val="22"/>
        </w:rPr>
      </w:pPr>
      <w:r w:rsidRPr="002C5A84">
        <w:rPr>
          <w:sz w:val="22"/>
          <w:szCs w:val="22"/>
        </w:rPr>
        <w:t>The facility is major stationary source in accordance with Rule 62-212.400, F.A.C.</w:t>
      </w:r>
      <w:r w:rsidR="001613F3">
        <w:rPr>
          <w:sz w:val="22"/>
          <w:szCs w:val="22"/>
        </w:rPr>
        <w:t>,</w:t>
      </w:r>
      <w:r w:rsidRPr="002C5A84">
        <w:rPr>
          <w:sz w:val="22"/>
          <w:szCs w:val="22"/>
        </w:rPr>
        <w:t xml:space="preserve"> for the Prevention of Significant Deterioration (PSD) of Air Quality.</w:t>
      </w:r>
    </w:p>
    <w:p w:rsidR="00193F10" w:rsidRPr="00294FCF" w:rsidRDefault="00193F10" w:rsidP="00294FCF">
      <w:pPr>
        <w:pStyle w:val="ListParagraph"/>
        <w:numPr>
          <w:ilvl w:val="1"/>
          <w:numId w:val="19"/>
        </w:numPr>
        <w:spacing w:after="120"/>
        <w:ind w:left="720" w:hanging="720"/>
        <w:contextualSpacing w:val="0"/>
        <w:rPr>
          <w:b/>
          <w:bCs/>
          <w:sz w:val="22"/>
          <w:szCs w:val="22"/>
        </w:rPr>
      </w:pPr>
      <w:r w:rsidRPr="00294FCF">
        <w:rPr>
          <w:b/>
          <w:bCs/>
          <w:sz w:val="22"/>
          <w:szCs w:val="22"/>
        </w:rPr>
        <w:t>Project Description</w:t>
      </w:r>
    </w:p>
    <w:p w:rsidR="00080F05" w:rsidRPr="00CA7D3B" w:rsidRDefault="00080F05" w:rsidP="00080F05">
      <w:pPr>
        <w:autoSpaceDE w:val="0"/>
        <w:autoSpaceDN w:val="0"/>
        <w:adjustRightInd w:val="0"/>
        <w:rPr>
          <w:sz w:val="22"/>
          <w:szCs w:val="22"/>
        </w:rPr>
      </w:pPr>
      <w:r w:rsidRPr="00CA7D3B">
        <w:rPr>
          <w:sz w:val="22"/>
          <w:szCs w:val="22"/>
        </w:rPr>
        <w:t xml:space="preserve">OUC has confirmed that the three electric steam generating units (EU001, EU002 and EU003) are currently "not commercially available".  Another term typically used to describe this status is “extended cold shutdown”. OUC has requested the Department’s concurrence with the practice that routine compliance activities such as fuel </w:t>
      </w:r>
      <w:r w:rsidRPr="00CA7D3B">
        <w:rPr>
          <w:sz w:val="22"/>
          <w:szCs w:val="22"/>
        </w:rPr>
        <w:lastRenderedPageBreak/>
        <w:t>sampling, emissions monitoring, and stack testing are not required while the facility is not operating.  It was further proposed that the Department would be notified at least 60 days before resuming commercial operation.</w:t>
      </w:r>
    </w:p>
    <w:p w:rsidR="00193F10" w:rsidRPr="00782ABD" w:rsidRDefault="00080F05" w:rsidP="00080F05">
      <w:pPr>
        <w:pStyle w:val="BodyText2"/>
        <w:numPr>
          <w:ilvl w:val="0"/>
          <w:numId w:val="0"/>
        </w:numPr>
        <w:jc w:val="left"/>
      </w:pPr>
      <w:r w:rsidRPr="00387E21">
        <w:rPr>
          <w:color w:val="000000"/>
        </w:rPr>
        <w:t xml:space="preserve">OUC </w:t>
      </w:r>
      <w:r w:rsidR="00AD7BDC">
        <w:rPr>
          <w:color w:val="000000"/>
        </w:rPr>
        <w:t xml:space="preserve">has indicated that they </w:t>
      </w:r>
      <w:r w:rsidRPr="00387E21">
        <w:rPr>
          <w:color w:val="000000"/>
        </w:rPr>
        <w:t>will continue to submit quarterly reports, semi-annual monitoring reports, annual statements of compliance, annual operating reports, and the annual Title V fee submissions. OUC request</w:t>
      </w:r>
      <w:r w:rsidR="00AD7BDC">
        <w:rPr>
          <w:color w:val="000000"/>
        </w:rPr>
        <w:t>ed</w:t>
      </w:r>
      <w:r w:rsidRPr="00387E21">
        <w:rPr>
          <w:color w:val="000000"/>
        </w:rPr>
        <w:t xml:space="preserve"> that </w:t>
      </w:r>
      <w:r w:rsidR="00CA7D3B">
        <w:rPr>
          <w:color w:val="000000"/>
        </w:rPr>
        <w:t xml:space="preserve">an air construction permit revision and the concurrent </w:t>
      </w:r>
      <w:r w:rsidRPr="00387E21">
        <w:t>T</w:t>
      </w:r>
      <w:r w:rsidR="00CA7D3B">
        <w:t>itle V</w:t>
      </w:r>
      <w:r w:rsidRPr="00387E21">
        <w:t xml:space="preserve"> permit </w:t>
      </w:r>
      <w:r w:rsidR="00CA7D3B">
        <w:t xml:space="preserve">renewal </w:t>
      </w:r>
      <w:r w:rsidRPr="00387E21">
        <w:t>reflect the extended cold shutdown status of these units.</w:t>
      </w:r>
      <w:r w:rsidR="001613F3" w:rsidRPr="007A22AF">
        <w:rPr>
          <w:szCs w:val="22"/>
        </w:rPr>
        <w:t xml:space="preserve"> </w:t>
      </w:r>
      <w:r w:rsidR="005E4FE3">
        <w:t xml:space="preserve"> </w:t>
      </w:r>
      <w:r w:rsidR="008257EF">
        <w:t xml:space="preserve"> </w:t>
      </w:r>
    </w:p>
    <w:p w:rsidR="001C4E37" w:rsidRPr="00294FCF" w:rsidRDefault="008C1A21" w:rsidP="00294FCF">
      <w:pPr>
        <w:pStyle w:val="ListParagraph"/>
        <w:numPr>
          <w:ilvl w:val="1"/>
          <w:numId w:val="19"/>
        </w:numPr>
        <w:spacing w:after="120"/>
        <w:ind w:left="720" w:hanging="720"/>
        <w:contextualSpacing w:val="0"/>
        <w:rPr>
          <w:b/>
          <w:bCs/>
          <w:sz w:val="22"/>
          <w:szCs w:val="22"/>
        </w:rPr>
      </w:pPr>
      <w:r w:rsidRPr="00294FCF">
        <w:rPr>
          <w:b/>
          <w:bCs/>
          <w:sz w:val="22"/>
          <w:szCs w:val="22"/>
        </w:rPr>
        <w:t xml:space="preserve">Application </w:t>
      </w:r>
      <w:r w:rsidR="001C4E37" w:rsidRPr="00294FCF">
        <w:rPr>
          <w:b/>
          <w:bCs/>
          <w:sz w:val="22"/>
          <w:szCs w:val="22"/>
        </w:rPr>
        <w:t>Processing Schedule</w:t>
      </w:r>
    </w:p>
    <w:p w:rsidR="002C5A84" w:rsidRDefault="002C5A84" w:rsidP="001A3C76">
      <w:pPr>
        <w:spacing w:after="120"/>
        <w:rPr>
          <w:sz w:val="22"/>
          <w:szCs w:val="22"/>
        </w:rPr>
      </w:pPr>
      <w:r w:rsidRPr="002F5508">
        <w:rPr>
          <w:sz w:val="22"/>
          <w:szCs w:val="22"/>
        </w:rPr>
        <w:t>Application for a</w:t>
      </w:r>
      <w:r w:rsidR="0074367D">
        <w:rPr>
          <w:sz w:val="22"/>
          <w:szCs w:val="22"/>
        </w:rPr>
        <w:t xml:space="preserve">n Air Construction Permit Revision received on </w:t>
      </w:r>
      <w:r w:rsidR="00080F05">
        <w:rPr>
          <w:sz w:val="22"/>
          <w:szCs w:val="22"/>
        </w:rPr>
        <w:t>May 20</w:t>
      </w:r>
      <w:r w:rsidR="0074367D">
        <w:rPr>
          <w:sz w:val="22"/>
          <w:szCs w:val="22"/>
        </w:rPr>
        <w:t>, 201</w:t>
      </w:r>
      <w:r w:rsidR="00723C69">
        <w:rPr>
          <w:sz w:val="22"/>
          <w:szCs w:val="22"/>
        </w:rPr>
        <w:t>4</w:t>
      </w:r>
      <w:r w:rsidRPr="002F5508">
        <w:rPr>
          <w:sz w:val="22"/>
          <w:szCs w:val="22"/>
        </w:rPr>
        <w:t>.</w:t>
      </w:r>
      <w:r w:rsidR="00E47479">
        <w:rPr>
          <w:sz w:val="22"/>
          <w:szCs w:val="22"/>
        </w:rPr>
        <w:t xml:space="preserve">  Application </w:t>
      </w:r>
      <w:r w:rsidR="00CA7D3B">
        <w:rPr>
          <w:sz w:val="22"/>
          <w:szCs w:val="22"/>
        </w:rPr>
        <w:t xml:space="preserve">was </w:t>
      </w:r>
      <w:r w:rsidR="00E47479">
        <w:rPr>
          <w:sz w:val="22"/>
          <w:szCs w:val="22"/>
        </w:rPr>
        <w:t>deemed complete.</w:t>
      </w:r>
    </w:p>
    <w:p w:rsidR="00193F10" w:rsidRDefault="00D51D78" w:rsidP="00294FCF">
      <w:pPr>
        <w:pStyle w:val="ListParagraph"/>
        <w:numPr>
          <w:ilvl w:val="0"/>
          <w:numId w:val="19"/>
        </w:numPr>
        <w:spacing w:after="120"/>
        <w:ind w:left="720" w:hanging="720"/>
        <w:contextualSpacing w:val="0"/>
        <w:rPr>
          <w:b/>
          <w:caps/>
          <w:sz w:val="22"/>
        </w:rPr>
      </w:pPr>
      <w:r>
        <w:rPr>
          <w:b/>
          <w:caps/>
          <w:sz w:val="22"/>
        </w:rPr>
        <w:t>PSD Applicability</w:t>
      </w:r>
    </w:p>
    <w:p w:rsidR="00D51D78" w:rsidRPr="00294FCF" w:rsidRDefault="00D51D78" w:rsidP="00294FCF">
      <w:pPr>
        <w:pStyle w:val="ListParagraph"/>
        <w:numPr>
          <w:ilvl w:val="1"/>
          <w:numId w:val="19"/>
        </w:numPr>
        <w:spacing w:after="120"/>
        <w:ind w:left="720" w:hanging="720"/>
        <w:contextualSpacing w:val="0"/>
        <w:rPr>
          <w:b/>
          <w:caps/>
          <w:sz w:val="22"/>
        </w:rPr>
      </w:pPr>
      <w:r w:rsidRPr="00193F10">
        <w:rPr>
          <w:b/>
          <w:sz w:val="22"/>
        </w:rPr>
        <w:t xml:space="preserve">General </w:t>
      </w:r>
      <w:r>
        <w:rPr>
          <w:b/>
          <w:sz w:val="22"/>
        </w:rPr>
        <w:t xml:space="preserve">PSD </w:t>
      </w:r>
      <w:r w:rsidRPr="00193F10">
        <w:rPr>
          <w:b/>
          <w:sz w:val="22"/>
        </w:rPr>
        <w:t>Applicability</w:t>
      </w:r>
    </w:p>
    <w:p w:rsidR="00825C6B" w:rsidRPr="00825C6B" w:rsidRDefault="00825C6B" w:rsidP="00825C6B">
      <w:pPr>
        <w:widowControl w:val="0"/>
        <w:spacing w:after="120"/>
        <w:rPr>
          <w:rFonts w:eastAsia="Calibri"/>
          <w:sz w:val="22"/>
          <w:szCs w:val="22"/>
        </w:rPr>
      </w:pPr>
      <w:r w:rsidRPr="00825C6B">
        <w:rPr>
          <w:rFonts w:eastAsia="Calibri"/>
          <w:sz w:val="22"/>
          <w:szCs w:val="22"/>
        </w:rPr>
        <w:t>The Department regulates major stationary sources in accordance with Florida’s PSD program pursuant to Rule 62-212.400, F.A.C.  PSD preconstruction review is required in areas that are currently in attainment with the state and federal ambient air quality standards (AAQS) or areas designated as “unclassifiable” for these regulated pollutants.  Commonly addressed PSD pollutants in the power industry include: carbon monoxide (CO), NO</w:t>
      </w:r>
      <w:r w:rsidRPr="00825C6B">
        <w:rPr>
          <w:rFonts w:eastAsia="Calibri"/>
          <w:sz w:val="22"/>
          <w:szCs w:val="22"/>
          <w:vertAlign w:val="subscript"/>
        </w:rPr>
        <w:t>X</w:t>
      </w:r>
      <w:r w:rsidRPr="00825C6B">
        <w:rPr>
          <w:rFonts w:eastAsia="Calibri"/>
          <w:sz w:val="22"/>
          <w:szCs w:val="22"/>
        </w:rPr>
        <w:t>, particulate matter (PM), PM with a mean diameter of 10 microns or less (PM</w:t>
      </w:r>
      <w:r w:rsidRPr="00825C6B">
        <w:rPr>
          <w:rFonts w:eastAsia="Calibri"/>
          <w:sz w:val="22"/>
          <w:szCs w:val="22"/>
          <w:vertAlign w:val="subscript"/>
        </w:rPr>
        <w:t>10</w:t>
      </w:r>
      <w:r w:rsidRPr="00825C6B">
        <w:rPr>
          <w:rFonts w:eastAsia="Calibri"/>
          <w:sz w:val="22"/>
          <w:szCs w:val="22"/>
        </w:rPr>
        <w:t>), PM with a mean diameter of 2.5 microns or less (PM</w:t>
      </w:r>
      <w:r w:rsidRPr="00825C6B">
        <w:rPr>
          <w:rFonts w:eastAsia="Calibri"/>
          <w:sz w:val="22"/>
          <w:szCs w:val="22"/>
          <w:vertAlign w:val="subscript"/>
        </w:rPr>
        <w:t>2.5</w:t>
      </w:r>
      <w:r w:rsidRPr="00825C6B">
        <w:rPr>
          <w:rFonts w:eastAsia="Calibri"/>
          <w:sz w:val="22"/>
          <w:szCs w:val="22"/>
        </w:rPr>
        <w:t>), sulfur dioxide (SO</w:t>
      </w:r>
      <w:r w:rsidRPr="00825C6B">
        <w:rPr>
          <w:rFonts w:eastAsia="Calibri"/>
          <w:sz w:val="22"/>
          <w:szCs w:val="22"/>
          <w:vertAlign w:val="subscript"/>
        </w:rPr>
        <w:t>2</w:t>
      </w:r>
      <w:r w:rsidRPr="00825C6B">
        <w:rPr>
          <w:rFonts w:eastAsia="Calibri"/>
          <w:sz w:val="22"/>
          <w:szCs w:val="22"/>
        </w:rPr>
        <w:t>), volatile organic compounds (VOC), lead (Pb), fluorides (F), sulfuric acid mist (SAM), and mercury (Hg).  According to state and federal rules, six greenhouse gases (GHG), are also subject to PSD review.</w:t>
      </w:r>
    </w:p>
    <w:p w:rsidR="00825C6B" w:rsidRPr="00825C6B" w:rsidRDefault="00825C6B" w:rsidP="00825C6B">
      <w:pPr>
        <w:widowControl w:val="0"/>
        <w:spacing w:after="120"/>
        <w:rPr>
          <w:rFonts w:eastAsia="Calibri"/>
          <w:sz w:val="22"/>
          <w:szCs w:val="22"/>
        </w:rPr>
      </w:pPr>
      <w:r w:rsidRPr="00825C6B">
        <w:rPr>
          <w:rFonts w:eastAsia="Calibri"/>
          <w:sz w:val="22"/>
          <w:szCs w:val="22"/>
        </w:rPr>
        <w:t>Additional PSD pollutants that are more common to certain other industries include: hydrogen sulfide (H</w:t>
      </w:r>
      <w:r w:rsidRPr="00825C6B">
        <w:rPr>
          <w:rFonts w:eastAsia="Calibri"/>
          <w:sz w:val="22"/>
          <w:szCs w:val="22"/>
          <w:vertAlign w:val="subscript"/>
        </w:rPr>
        <w:t>2</w:t>
      </w:r>
      <w:r w:rsidRPr="00825C6B">
        <w:rPr>
          <w:rFonts w:eastAsia="Calibri"/>
          <w:sz w:val="22"/>
          <w:szCs w:val="22"/>
        </w:rPr>
        <w:t>S), TRS including H</w:t>
      </w:r>
      <w:r w:rsidRPr="00825C6B">
        <w:rPr>
          <w:rFonts w:eastAsia="Calibri"/>
          <w:sz w:val="22"/>
          <w:szCs w:val="22"/>
          <w:vertAlign w:val="subscript"/>
        </w:rPr>
        <w:t>2</w:t>
      </w:r>
      <w:r w:rsidRPr="00825C6B">
        <w:rPr>
          <w:rFonts w:eastAsia="Calibri"/>
          <w:sz w:val="22"/>
          <w:szCs w:val="22"/>
        </w:rPr>
        <w:t>S, reduced sulfur compounds (RSC) including H</w:t>
      </w:r>
      <w:r w:rsidRPr="00825C6B">
        <w:rPr>
          <w:rFonts w:eastAsia="Calibri"/>
          <w:sz w:val="22"/>
          <w:szCs w:val="22"/>
          <w:vertAlign w:val="subscript"/>
        </w:rPr>
        <w:t>2</w:t>
      </w:r>
      <w:r w:rsidRPr="00825C6B">
        <w:rPr>
          <w:rFonts w:eastAsia="Calibri"/>
          <w:sz w:val="22"/>
          <w:szCs w:val="22"/>
        </w:rPr>
        <w:t>S, municipal waste combustor (MWC) organics measured as total tetra- through octa-chlorinated dibenzo-p-dioxins and dibenzofurans (dioxin/furan), MWC metals measured as PM; MWC acid gases measured as SO</w:t>
      </w:r>
      <w:r w:rsidRPr="00825C6B">
        <w:rPr>
          <w:rFonts w:eastAsia="Calibri"/>
          <w:sz w:val="22"/>
          <w:szCs w:val="22"/>
          <w:vertAlign w:val="subscript"/>
        </w:rPr>
        <w:t>2</w:t>
      </w:r>
      <w:r w:rsidRPr="00825C6B">
        <w:rPr>
          <w:rFonts w:eastAsia="Calibri"/>
          <w:sz w:val="22"/>
          <w:szCs w:val="22"/>
        </w:rPr>
        <w:t xml:space="preserve"> and HCl, and </w:t>
      </w:r>
      <w:r w:rsidRPr="00825C6B">
        <w:rPr>
          <w:sz w:val="22"/>
          <w:szCs w:val="22"/>
        </w:rPr>
        <w:t>MSW landfill emissions as non-methane organic compounds (NMOC)</w:t>
      </w:r>
      <w:r w:rsidRPr="00825C6B">
        <w:rPr>
          <w:rFonts w:eastAsia="Calibri"/>
          <w:sz w:val="22"/>
          <w:szCs w:val="22"/>
        </w:rPr>
        <w:t xml:space="preserve">.  </w:t>
      </w:r>
    </w:p>
    <w:p w:rsidR="00825C6B" w:rsidRPr="00825C6B" w:rsidRDefault="00825C6B" w:rsidP="00825C6B">
      <w:pPr>
        <w:autoSpaceDE w:val="0"/>
        <w:autoSpaceDN w:val="0"/>
        <w:adjustRightInd w:val="0"/>
        <w:spacing w:after="60"/>
        <w:rPr>
          <w:color w:val="000000"/>
          <w:sz w:val="22"/>
          <w:szCs w:val="22"/>
        </w:rPr>
      </w:pPr>
      <w:r w:rsidRPr="00825C6B">
        <w:rPr>
          <w:rFonts w:eastAsia="Calibri"/>
          <w:color w:val="000000"/>
          <w:sz w:val="22"/>
          <w:szCs w:val="22"/>
        </w:rPr>
        <w:t>As defined in Rule 62-210.200(189</w:t>
      </w:r>
      <w:proofErr w:type="gramStart"/>
      <w:r w:rsidRPr="00825C6B">
        <w:rPr>
          <w:rFonts w:eastAsia="Calibri"/>
          <w:color w:val="000000"/>
          <w:sz w:val="22"/>
          <w:szCs w:val="22"/>
        </w:rPr>
        <w:t>)(</w:t>
      </w:r>
      <w:proofErr w:type="gramEnd"/>
      <w:r w:rsidRPr="00825C6B">
        <w:rPr>
          <w:rFonts w:eastAsia="Calibri"/>
          <w:color w:val="000000"/>
          <w:sz w:val="22"/>
          <w:szCs w:val="22"/>
        </w:rPr>
        <w:t xml:space="preserve">a)1, F.A.C., </w:t>
      </w:r>
      <w:r w:rsidRPr="00825C6B">
        <w:rPr>
          <w:color w:val="000000"/>
          <w:sz w:val="22"/>
          <w:szCs w:val="22"/>
        </w:rPr>
        <w:t>a stationary source is a “major stationary source” (major PSD source) if it emits or has the potential to emit (PTE):</w:t>
      </w:r>
    </w:p>
    <w:p w:rsidR="00825C6B" w:rsidRPr="00825C6B" w:rsidRDefault="00825C6B" w:rsidP="00825C6B">
      <w:pPr>
        <w:numPr>
          <w:ilvl w:val="0"/>
          <w:numId w:val="22"/>
        </w:numPr>
        <w:autoSpaceDE w:val="0"/>
        <w:autoSpaceDN w:val="0"/>
        <w:adjustRightInd w:val="0"/>
        <w:spacing w:after="60"/>
        <w:rPr>
          <w:rFonts w:eastAsia="Calibri"/>
          <w:color w:val="000000"/>
          <w:sz w:val="22"/>
          <w:szCs w:val="22"/>
        </w:rPr>
      </w:pPr>
      <w:r w:rsidRPr="00825C6B">
        <w:rPr>
          <w:color w:val="000000"/>
          <w:sz w:val="22"/>
          <w:szCs w:val="22"/>
        </w:rPr>
        <w:t xml:space="preserve">250 tons per year (TPY) or more of any PSD pollutant; </w:t>
      </w:r>
      <w:r w:rsidRPr="00825C6B">
        <w:rPr>
          <w:color w:val="000000"/>
          <w:sz w:val="22"/>
          <w:szCs w:val="22"/>
          <w:u w:val="single"/>
        </w:rPr>
        <w:t>or</w:t>
      </w:r>
      <w:r w:rsidRPr="00825C6B">
        <w:rPr>
          <w:color w:val="000000"/>
          <w:sz w:val="22"/>
          <w:szCs w:val="22"/>
        </w:rPr>
        <w:t xml:space="preserve"> </w:t>
      </w:r>
    </w:p>
    <w:p w:rsidR="00825C6B" w:rsidRPr="00825C6B" w:rsidRDefault="00825C6B" w:rsidP="00825C6B">
      <w:pPr>
        <w:numPr>
          <w:ilvl w:val="0"/>
          <w:numId w:val="22"/>
        </w:numPr>
        <w:autoSpaceDE w:val="0"/>
        <w:autoSpaceDN w:val="0"/>
        <w:adjustRightInd w:val="0"/>
        <w:spacing w:after="120"/>
        <w:rPr>
          <w:rFonts w:eastAsia="Calibri"/>
          <w:color w:val="000000"/>
          <w:sz w:val="22"/>
          <w:szCs w:val="22"/>
        </w:rPr>
      </w:pPr>
      <w:r w:rsidRPr="00825C6B">
        <w:rPr>
          <w:color w:val="000000"/>
          <w:sz w:val="22"/>
          <w:szCs w:val="22"/>
        </w:rPr>
        <w:t xml:space="preserve">100 TPY or more of any PSD pollutant </w:t>
      </w:r>
      <w:r w:rsidRPr="00825C6B">
        <w:rPr>
          <w:color w:val="000000"/>
          <w:sz w:val="22"/>
          <w:szCs w:val="22"/>
          <w:u w:val="single"/>
        </w:rPr>
        <w:t>and</w:t>
      </w:r>
      <w:r w:rsidRPr="00825C6B">
        <w:rPr>
          <w:color w:val="000000"/>
          <w:sz w:val="22"/>
          <w:szCs w:val="22"/>
        </w:rPr>
        <w:t xml:space="preserve"> the facility belongs to one of the 28 listed PSD major facility categories.  </w:t>
      </w:r>
    </w:p>
    <w:p w:rsidR="00825C6B" w:rsidRPr="00825C6B" w:rsidRDefault="00825C6B" w:rsidP="00825C6B">
      <w:pPr>
        <w:widowControl w:val="0"/>
        <w:spacing w:after="120"/>
        <w:rPr>
          <w:rFonts w:eastAsia="Calibri"/>
          <w:sz w:val="22"/>
          <w:szCs w:val="22"/>
        </w:rPr>
      </w:pPr>
      <w:r w:rsidRPr="00825C6B">
        <w:rPr>
          <w:rFonts w:eastAsia="Calibri"/>
          <w:sz w:val="22"/>
          <w:szCs w:val="22"/>
        </w:rPr>
        <w:t xml:space="preserve">The list given in the citation includes the category of “fossil fuel-fired steam electric plants of more than 250 million British thermal units per hour heat input”.  This category applies to the </w:t>
      </w:r>
      <w:r>
        <w:rPr>
          <w:rFonts w:eastAsia="Calibri"/>
          <w:sz w:val="22"/>
          <w:szCs w:val="22"/>
        </w:rPr>
        <w:t>Indian River</w:t>
      </w:r>
      <w:r w:rsidRPr="00825C6B">
        <w:rPr>
          <w:rFonts w:eastAsia="Calibri"/>
          <w:sz w:val="22"/>
          <w:szCs w:val="22"/>
        </w:rPr>
        <w:t xml:space="preserve"> Plant before and after the proposed project.  The </w:t>
      </w:r>
      <w:r>
        <w:rPr>
          <w:rFonts w:eastAsia="Calibri"/>
          <w:sz w:val="22"/>
          <w:szCs w:val="22"/>
        </w:rPr>
        <w:t>Indian River</w:t>
      </w:r>
      <w:r w:rsidRPr="00825C6B">
        <w:rPr>
          <w:rFonts w:eastAsia="Calibri"/>
          <w:sz w:val="22"/>
          <w:szCs w:val="22"/>
        </w:rPr>
        <w:t xml:space="preserve"> Plant is a major stationary source based on actual emissions of and potential to emit 100 TPY or more of several individual PSD pollutants.  </w:t>
      </w:r>
    </w:p>
    <w:p w:rsidR="00825C6B" w:rsidRPr="00825C6B" w:rsidRDefault="00825C6B" w:rsidP="00825C6B">
      <w:pPr>
        <w:widowControl w:val="0"/>
        <w:spacing w:after="120"/>
        <w:rPr>
          <w:rFonts w:eastAsia="Calibri"/>
          <w:sz w:val="22"/>
          <w:szCs w:val="22"/>
        </w:rPr>
      </w:pPr>
      <w:r w:rsidRPr="00825C6B">
        <w:rPr>
          <w:rFonts w:eastAsia="Calibri"/>
          <w:sz w:val="22"/>
          <w:szCs w:val="22"/>
        </w:rPr>
        <w:t xml:space="preserve">For major stationary sources such as the </w:t>
      </w:r>
      <w:r>
        <w:rPr>
          <w:rFonts w:eastAsia="Calibri"/>
          <w:sz w:val="22"/>
          <w:szCs w:val="22"/>
        </w:rPr>
        <w:t>Indian River</w:t>
      </w:r>
      <w:r w:rsidRPr="00825C6B">
        <w:rPr>
          <w:rFonts w:eastAsia="Calibri"/>
          <w:sz w:val="22"/>
          <w:szCs w:val="22"/>
        </w:rPr>
        <w:t xml:space="preserve"> Plant, PSD applicability for modification projects is based on thresholds known as the significant emission rates (SER) as defined in Rule 62-210.200(274), F.A.C.  Any “net emissions increase” as defined in Rule 62-210.200(204), F.A.C. of a PSD pollutant from the project that equals or exceeds the respective SER is considered “significant”.  SER also means any emissions rate or any net emissions increase of a PSD pollutant associated with a major stationary source or major modification which would construct within 10 km of a Class I area and have an impact on such area equal to or greater than 1 gram per cubic meter, 24-hour average.  </w:t>
      </w:r>
    </w:p>
    <w:p w:rsidR="00825C6B" w:rsidRPr="00825C6B" w:rsidRDefault="00825C6B" w:rsidP="00825C6B">
      <w:pPr>
        <w:widowControl w:val="0"/>
        <w:spacing w:after="120"/>
        <w:rPr>
          <w:rFonts w:eastAsia="Calibri"/>
          <w:sz w:val="22"/>
          <w:szCs w:val="22"/>
        </w:rPr>
      </w:pPr>
      <w:r w:rsidRPr="00825C6B">
        <w:rPr>
          <w:rFonts w:eastAsia="Calibri"/>
          <w:sz w:val="22"/>
          <w:szCs w:val="22"/>
        </w:rPr>
        <w:t xml:space="preserve">Although a facility may be “major” (i.e. emits or has the potential to emit 100 or 250 TPY as applicable) for only one PSD pollutant, a project must include BACT controls for any PSD pollutant that exceeds the corresponding SER given in </w:t>
      </w:r>
      <w:r w:rsidRPr="00825C6B">
        <w:rPr>
          <w:rFonts w:eastAsia="Calibri"/>
          <w:b/>
          <w:sz w:val="22"/>
          <w:szCs w:val="22"/>
        </w:rPr>
        <w:fldChar w:fldCharType="begin"/>
      </w:r>
      <w:r w:rsidRPr="00825C6B">
        <w:rPr>
          <w:rFonts w:eastAsia="Calibri"/>
          <w:b/>
          <w:sz w:val="22"/>
          <w:szCs w:val="22"/>
        </w:rPr>
        <w:instrText xml:space="preserve"> REF _Ref365378550 \h  \* MERGEFORMAT </w:instrText>
      </w:r>
      <w:r w:rsidRPr="00825C6B">
        <w:rPr>
          <w:rFonts w:eastAsia="Calibri"/>
          <w:b/>
          <w:sz w:val="22"/>
          <w:szCs w:val="22"/>
        </w:rPr>
      </w:r>
      <w:r w:rsidRPr="00825C6B">
        <w:rPr>
          <w:rFonts w:eastAsia="Calibri"/>
          <w:b/>
          <w:sz w:val="22"/>
          <w:szCs w:val="22"/>
        </w:rPr>
        <w:fldChar w:fldCharType="separate"/>
      </w:r>
      <w:r w:rsidRPr="00825C6B">
        <w:rPr>
          <w:b/>
          <w:sz w:val="22"/>
          <w:szCs w:val="22"/>
        </w:rPr>
        <w:t xml:space="preserve">Table </w:t>
      </w:r>
      <w:r w:rsidRPr="00825C6B">
        <w:rPr>
          <w:b/>
          <w:noProof/>
          <w:sz w:val="22"/>
          <w:szCs w:val="22"/>
        </w:rPr>
        <w:t>1</w:t>
      </w:r>
      <w:r w:rsidRPr="00825C6B">
        <w:rPr>
          <w:rFonts w:eastAsia="Calibri"/>
          <w:b/>
          <w:sz w:val="22"/>
          <w:szCs w:val="22"/>
        </w:rPr>
        <w:fldChar w:fldCharType="end"/>
      </w:r>
      <w:r w:rsidRPr="00825C6B">
        <w:rPr>
          <w:rFonts w:eastAsia="Calibri"/>
          <w:sz w:val="22"/>
          <w:szCs w:val="22"/>
        </w:rPr>
        <w:t>.</w:t>
      </w:r>
    </w:p>
    <w:p w:rsidR="00825C6B" w:rsidRPr="00825C6B" w:rsidRDefault="00825C6B" w:rsidP="00825C6B">
      <w:pPr>
        <w:spacing w:after="120"/>
        <w:jc w:val="center"/>
        <w:rPr>
          <w:rFonts w:ascii="Times New Roman Bold" w:hAnsi="Times New Roman Bold"/>
          <w:b/>
          <w:caps/>
          <w:color w:val="000000"/>
          <w:sz w:val="22"/>
          <w:szCs w:val="22"/>
          <w:vertAlign w:val="superscript"/>
        </w:rPr>
      </w:pPr>
      <w:bookmarkStart w:id="0" w:name="_Ref365378550"/>
      <w:r w:rsidRPr="00825C6B">
        <w:rPr>
          <w:b/>
          <w:caps/>
          <w:sz w:val="22"/>
        </w:rPr>
        <w:t xml:space="preserve">Table </w:t>
      </w:r>
      <w:r w:rsidRPr="00825C6B">
        <w:rPr>
          <w:b/>
          <w:caps/>
          <w:sz w:val="22"/>
        </w:rPr>
        <w:fldChar w:fldCharType="begin"/>
      </w:r>
      <w:r w:rsidRPr="00825C6B">
        <w:rPr>
          <w:b/>
          <w:caps/>
          <w:sz w:val="22"/>
        </w:rPr>
        <w:instrText xml:space="preserve"> SEQ Table \* ARABIC </w:instrText>
      </w:r>
      <w:r w:rsidRPr="00825C6B">
        <w:rPr>
          <w:b/>
          <w:caps/>
          <w:sz w:val="22"/>
        </w:rPr>
        <w:fldChar w:fldCharType="separate"/>
      </w:r>
      <w:r>
        <w:rPr>
          <w:b/>
          <w:caps/>
          <w:noProof/>
          <w:sz w:val="22"/>
        </w:rPr>
        <w:t>1</w:t>
      </w:r>
      <w:r w:rsidRPr="00825C6B">
        <w:rPr>
          <w:b/>
          <w:caps/>
          <w:noProof/>
          <w:sz w:val="22"/>
        </w:rPr>
        <w:fldChar w:fldCharType="end"/>
      </w:r>
      <w:bookmarkEnd w:id="0"/>
      <w:r w:rsidRPr="00825C6B">
        <w:rPr>
          <w:b/>
          <w:caps/>
          <w:sz w:val="22"/>
        </w:rPr>
        <w:t xml:space="preserve"> </w:t>
      </w:r>
      <w:r w:rsidRPr="00825C6B">
        <w:rPr>
          <w:rFonts w:ascii="Times New Roman Bold" w:hAnsi="Times New Roman Bold"/>
          <w:b/>
          <w:caps/>
          <w:color w:val="000000"/>
          <w:sz w:val="22"/>
          <w:szCs w:val="22"/>
        </w:rPr>
        <w:t xml:space="preserve">– List of SER by PSD-Pollutant. </w:t>
      </w:r>
      <w:r w:rsidRPr="00825C6B">
        <w:rPr>
          <w:rFonts w:ascii="Times New Roman Bold" w:hAnsi="Times New Roman Bold"/>
          <w:b/>
          <w:caps/>
          <w:color w:val="000000"/>
          <w:sz w:val="22"/>
          <w:szCs w:val="22"/>
          <w:vertAlign w:val="superscript"/>
        </w:rPr>
        <w:t>1</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340"/>
        <w:gridCol w:w="2700"/>
        <w:gridCol w:w="2250"/>
        <w:gridCol w:w="2430"/>
      </w:tblGrid>
      <w:tr w:rsidR="00825C6B" w:rsidRPr="00825C6B" w:rsidTr="008A1877">
        <w:trPr>
          <w:trHeight w:val="290"/>
          <w:tblHeader/>
        </w:trPr>
        <w:tc>
          <w:tcPr>
            <w:tcW w:w="2340" w:type="dxa"/>
            <w:shd w:val="clear" w:color="auto" w:fill="C6D9F1"/>
            <w:vAlign w:val="center"/>
            <w:hideMark/>
          </w:tcPr>
          <w:p w:rsidR="00825C6B" w:rsidRPr="00825C6B" w:rsidRDefault="00825C6B" w:rsidP="00825C6B">
            <w:pPr>
              <w:autoSpaceDE w:val="0"/>
              <w:autoSpaceDN w:val="0"/>
              <w:adjustRightInd w:val="0"/>
              <w:spacing w:before="20" w:after="20"/>
              <w:jc w:val="center"/>
              <w:rPr>
                <w:b/>
                <w:color w:val="000000"/>
              </w:rPr>
            </w:pPr>
            <w:r w:rsidRPr="00825C6B">
              <w:rPr>
                <w:b/>
                <w:color w:val="000000"/>
              </w:rPr>
              <w:t>Pollutant</w:t>
            </w:r>
          </w:p>
        </w:tc>
        <w:tc>
          <w:tcPr>
            <w:tcW w:w="2700" w:type="dxa"/>
            <w:shd w:val="clear" w:color="auto" w:fill="C6D9F1"/>
            <w:vAlign w:val="center"/>
            <w:hideMark/>
          </w:tcPr>
          <w:p w:rsidR="00825C6B" w:rsidRPr="00825C6B" w:rsidRDefault="00825C6B" w:rsidP="00825C6B">
            <w:pPr>
              <w:autoSpaceDE w:val="0"/>
              <w:autoSpaceDN w:val="0"/>
              <w:adjustRightInd w:val="0"/>
              <w:spacing w:before="20" w:after="20"/>
              <w:jc w:val="center"/>
              <w:rPr>
                <w:b/>
                <w:color w:val="000000"/>
              </w:rPr>
            </w:pPr>
            <w:r w:rsidRPr="00825C6B">
              <w:rPr>
                <w:b/>
                <w:color w:val="000000"/>
              </w:rPr>
              <w:t>SER (TPY)</w:t>
            </w:r>
          </w:p>
        </w:tc>
        <w:tc>
          <w:tcPr>
            <w:tcW w:w="2250" w:type="dxa"/>
            <w:shd w:val="clear" w:color="auto" w:fill="C6D9F1"/>
            <w:vAlign w:val="center"/>
            <w:hideMark/>
          </w:tcPr>
          <w:p w:rsidR="00825C6B" w:rsidRPr="00825C6B" w:rsidRDefault="00825C6B" w:rsidP="00825C6B">
            <w:pPr>
              <w:autoSpaceDE w:val="0"/>
              <w:autoSpaceDN w:val="0"/>
              <w:adjustRightInd w:val="0"/>
              <w:spacing w:before="20" w:after="20"/>
              <w:jc w:val="center"/>
              <w:rPr>
                <w:b/>
                <w:color w:val="000000"/>
              </w:rPr>
            </w:pPr>
            <w:r w:rsidRPr="00825C6B">
              <w:rPr>
                <w:b/>
                <w:color w:val="000000"/>
              </w:rPr>
              <w:t>Pollutant</w:t>
            </w:r>
          </w:p>
        </w:tc>
        <w:tc>
          <w:tcPr>
            <w:tcW w:w="2430" w:type="dxa"/>
            <w:shd w:val="clear" w:color="auto" w:fill="C6D9F1"/>
            <w:vAlign w:val="center"/>
            <w:hideMark/>
          </w:tcPr>
          <w:p w:rsidR="00825C6B" w:rsidRPr="00825C6B" w:rsidRDefault="00825C6B" w:rsidP="00825C6B">
            <w:pPr>
              <w:autoSpaceDE w:val="0"/>
              <w:autoSpaceDN w:val="0"/>
              <w:adjustRightInd w:val="0"/>
              <w:spacing w:before="20" w:after="20"/>
              <w:jc w:val="center"/>
              <w:rPr>
                <w:b/>
                <w:color w:val="000000"/>
              </w:rPr>
            </w:pPr>
            <w:r w:rsidRPr="00825C6B">
              <w:rPr>
                <w:b/>
                <w:color w:val="000000"/>
              </w:rPr>
              <w:t>SER (TPY)</w:t>
            </w:r>
          </w:p>
        </w:tc>
      </w:tr>
      <w:tr w:rsidR="00825C6B" w:rsidRPr="00825C6B" w:rsidTr="008A1877">
        <w:trPr>
          <w:trHeight w:val="264"/>
        </w:trPr>
        <w:tc>
          <w:tcPr>
            <w:tcW w:w="234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CO</w:t>
            </w:r>
          </w:p>
        </w:tc>
        <w:tc>
          <w:tcPr>
            <w:tcW w:w="270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100</w:t>
            </w:r>
          </w:p>
        </w:tc>
        <w:tc>
          <w:tcPr>
            <w:tcW w:w="225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NO</w:t>
            </w:r>
            <w:r w:rsidRPr="00825C6B">
              <w:rPr>
                <w:color w:val="000000"/>
                <w:sz w:val="22"/>
                <w:szCs w:val="22"/>
                <w:vertAlign w:val="subscript"/>
              </w:rPr>
              <w:t>X</w:t>
            </w:r>
          </w:p>
        </w:tc>
        <w:tc>
          <w:tcPr>
            <w:tcW w:w="243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40</w:t>
            </w:r>
          </w:p>
        </w:tc>
      </w:tr>
      <w:tr w:rsidR="00825C6B" w:rsidRPr="00825C6B" w:rsidTr="008A1877">
        <w:trPr>
          <w:trHeight w:val="264"/>
        </w:trPr>
        <w:tc>
          <w:tcPr>
            <w:tcW w:w="234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lastRenderedPageBreak/>
              <w:t>PM/PM</w:t>
            </w:r>
            <w:r w:rsidRPr="00825C6B">
              <w:rPr>
                <w:sz w:val="22"/>
                <w:szCs w:val="22"/>
                <w:vertAlign w:val="subscript"/>
              </w:rPr>
              <w:t>10</w:t>
            </w:r>
            <w:r w:rsidRPr="00825C6B">
              <w:rPr>
                <w:color w:val="000000"/>
              </w:rPr>
              <w:t>/PM</w:t>
            </w:r>
            <w:r w:rsidRPr="00825C6B">
              <w:rPr>
                <w:color w:val="000000"/>
                <w:vertAlign w:val="subscript"/>
              </w:rPr>
              <w:t>2.5</w:t>
            </w:r>
          </w:p>
        </w:tc>
        <w:tc>
          <w:tcPr>
            <w:tcW w:w="270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25/15/10</w:t>
            </w:r>
          </w:p>
        </w:tc>
        <w:tc>
          <w:tcPr>
            <w:tcW w:w="225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 xml:space="preserve">Ozone (VOC) </w:t>
            </w:r>
            <w:r w:rsidRPr="00825C6B">
              <w:rPr>
                <w:b/>
                <w:color w:val="000000"/>
                <w:vertAlign w:val="superscript"/>
              </w:rPr>
              <w:t>2</w:t>
            </w:r>
          </w:p>
        </w:tc>
        <w:tc>
          <w:tcPr>
            <w:tcW w:w="243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40</w:t>
            </w:r>
          </w:p>
        </w:tc>
      </w:tr>
      <w:tr w:rsidR="00825C6B" w:rsidRPr="00825C6B" w:rsidTr="008A1877">
        <w:trPr>
          <w:trHeight w:val="264"/>
        </w:trPr>
        <w:tc>
          <w:tcPr>
            <w:tcW w:w="234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PM</w:t>
            </w:r>
            <w:r w:rsidRPr="00825C6B">
              <w:rPr>
                <w:color w:val="000000"/>
                <w:vertAlign w:val="subscript"/>
              </w:rPr>
              <w:t>2.5</w:t>
            </w:r>
            <w:r w:rsidRPr="00825C6B">
              <w:rPr>
                <w:color w:val="000000"/>
              </w:rPr>
              <w:t xml:space="preserve"> (NO</w:t>
            </w:r>
            <w:r w:rsidRPr="00825C6B">
              <w:rPr>
                <w:sz w:val="22"/>
                <w:szCs w:val="22"/>
                <w:vertAlign w:val="subscript"/>
              </w:rPr>
              <w:t>X</w:t>
            </w:r>
            <w:r w:rsidRPr="00825C6B">
              <w:rPr>
                <w:color w:val="000000"/>
              </w:rPr>
              <w:t>)</w:t>
            </w:r>
          </w:p>
        </w:tc>
        <w:tc>
          <w:tcPr>
            <w:tcW w:w="270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40</w:t>
            </w:r>
          </w:p>
        </w:tc>
        <w:tc>
          <w:tcPr>
            <w:tcW w:w="225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PM</w:t>
            </w:r>
            <w:r w:rsidRPr="00825C6B">
              <w:rPr>
                <w:color w:val="000000"/>
                <w:vertAlign w:val="subscript"/>
              </w:rPr>
              <w:t>2.5</w:t>
            </w:r>
            <w:r w:rsidRPr="00825C6B">
              <w:rPr>
                <w:color w:val="000000"/>
              </w:rPr>
              <w:t xml:space="preserve"> (SO</w:t>
            </w:r>
            <w:r w:rsidRPr="00825C6B">
              <w:rPr>
                <w:sz w:val="22"/>
                <w:szCs w:val="22"/>
                <w:vertAlign w:val="subscript"/>
              </w:rPr>
              <w:t>2</w:t>
            </w:r>
            <w:r w:rsidRPr="00825C6B">
              <w:rPr>
                <w:color w:val="000000"/>
              </w:rPr>
              <w:t>)</w:t>
            </w:r>
          </w:p>
        </w:tc>
        <w:tc>
          <w:tcPr>
            <w:tcW w:w="243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40</w:t>
            </w:r>
          </w:p>
        </w:tc>
      </w:tr>
      <w:tr w:rsidR="00825C6B" w:rsidRPr="00825C6B" w:rsidTr="008A1877">
        <w:trPr>
          <w:trHeight w:val="246"/>
        </w:trPr>
        <w:tc>
          <w:tcPr>
            <w:tcW w:w="234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Ozone (NO</w:t>
            </w:r>
            <w:r w:rsidRPr="00825C6B">
              <w:rPr>
                <w:sz w:val="22"/>
                <w:szCs w:val="22"/>
                <w:vertAlign w:val="subscript"/>
              </w:rPr>
              <w:t>X</w:t>
            </w:r>
            <w:r w:rsidRPr="00825C6B">
              <w:rPr>
                <w:color w:val="000000"/>
              </w:rPr>
              <w:t xml:space="preserve">) </w:t>
            </w:r>
            <w:r w:rsidRPr="00825C6B">
              <w:rPr>
                <w:b/>
                <w:color w:val="000000"/>
                <w:vertAlign w:val="superscript"/>
              </w:rPr>
              <w:t>2</w:t>
            </w:r>
          </w:p>
        </w:tc>
        <w:tc>
          <w:tcPr>
            <w:tcW w:w="270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40</w:t>
            </w:r>
          </w:p>
        </w:tc>
        <w:tc>
          <w:tcPr>
            <w:tcW w:w="225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SAM</w:t>
            </w:r>
          </w:p>
        </w:tc>
        <w:tc>
          <w:tcPr>
            <w:tcW w:w="243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7</w:t>
            </w:r>
          </w:p>
        </w:tc>
      </w:tr>
      <w:tr w:rsidR="00825C6B" w:rsidRPr="00825C6B" w:rsidTr="008A1877">
        <w:trPr>
          <w:trHeight w:val="255"/>
        </w:trPr>
        <w:tc>
          <w:tcPr>
            <w:tcW w:w="234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SO</w:t>
            </w:r>
            <w:r w:rsidRPr="00825C6B">
              <w:rPr>
                <w:color w:val="000000"/>
                <w:sz w:val="22"/>
                <w:szCs w:val="22"/>
                <w:vertAlign w:val="subscript"/>
              </w:rPr>
              <w:t>2</w:t>
            </w:r>
          </w:p>
        </w:tc>
        <w:tc>
          <w:tcPr>
            <w:tcW w:w="270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40</w:t>
            </w:r>
          </w:p>
        </w:tc>
        <w:tc>
          <w:tcPr>
            <w:tcW w:w="225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Pb</w:t>
            </w:r>
          </w:p>
        </w:tc>
        <w:tc>
          <w:tcPr>
            <w:tcW w:w="243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0.6</w:t>
            </w:r>
          </w:p>
        </w:tc>
      </w:tr>
      <w:tr w:rsidR="00825C6B" w:rsidRPr="00825C6B" w:rsidTr="008A1877">
        <w:trPr>
          <w:trHeight w:val="255"/>
        </w:trPr>
        <w:tc>
          <w:tcPr>
            <w:tcW w:w="234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Hg</w:t>
            </w:r>
          </w:p>
        </w:tc>
        <w:tc>
          <w:tcPr>
            <w:tcW w:w="270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 xml:space="preserve">0.1 </w:t>
            </w:r>
          </w:p>
        </w:tc>
        <w:tc>
          <w:tcPr>
            <w:tcW w:w="2250" w:type="dxa"/>
            <w:vAlign w:val="center"/>
            <w:hideMark/>
          </w:tcPr>
          <w:p w:rsidR="00825C6B" w:rsidRPr="00825C6B" w:rsidRDefault="00825C6B" w:rsidP="00825C6B">
            <w:pPr>
              <w:autoSpaceDE w:val="0"/>
              <w:autoSpaceDN w:val="0"/>
              <w:adjustRightInd w:val="0"/>
              <w:spacing w:before="20" w:after="20"/>
              <w:jc w:val="center"/>
              <w:rPr>
                <w:color w:val="000000"/>
              </w:rPr>
            </w:pPr>
            <w:r w:rsidRPr="00825C6B">
              <w:rPr>
                <w:color w:val="000000"/>
              </w:rPr>
              <w:t>GHGs</w:t>
            </w:r>
          </w:p>
        </w:tc>
        <w:tc>
          <w:tcPr>
            <w:tcW w:w="2430" w:type="dxa"/>
            <w:shd w:val="clear" w:color="auto" w:fill="DAEEF3"/>
            <w:vAlign w:val="center"/>
            <w:hideMark/>
          </w:tcPr>
          <w:p w:rsidR="00825C6B" w:rsidRPr="00825C6B" w:rsidRDefault="00825C6B" w:rsidP="00825C6B">
            <w:pPr>
              <w:autoSpaceDE w:val="0"/>
              <w:autoSpaceDN w:val="0"/>
              <w:adjustRightInd w:val="0"/>
              <w:spacing w:before="20" w:after="20"/>
              <w:jc w:val="center"/>
              <w:rPr>
                <w:color w:val="000000"/>
                <w:vertAlign w:val="superscript"/>
              </w:rPr>
            </w:pPr>
            <w:r w:rsidRPr="00825C6B">
              <w:rPr>
                <w:color w:val="000000"/>
              </w:rPr>
              <w:t xml:space="preserve">0 </w:t>
            </w:r>
            <w:r w:rsidRPr="00825C6B">
              <w:rPr>
                <w:b/>
                <w:color w:val="000000"/>
                <w:vertAlign w:val="superscript"/>
              </w:rPr>
              <w:t>3</w:t>
            </w:r>
          </w:p>
        </w:tc>
      </w:tr>
      <w:tr w:rsidR="00825C6B" w:rsidRPr="00825C6B" w:rsidTr="008A1877">
        <w:trPr>
          <w:trHeight w:val="311"/>
        </w:trPr>
        <w:tc>
          <w:tcPr>
            <w:tcW w:w="9720" w:type="dxa"/>
            <w:gridSpan w:val="4"/>
            <w:hideMark/>
          </w:tcPr>
          <w:p w:rsidR="00825C6B" w:rsidRPr="00825C6B" w:rsidRDefault="00825C6B" w:rsidP="00825C6B">
            <w:pPr>
              <w:numPr>
                <w:ilvl w:val="0"/>
                <w:numId w:val="21"/>
              </w:numPr>
              <w:autoSpaceDE w:val="0"/>
              <w:autoSpaceDN w:val="0"/>
              <w:adjustRightInd w:val="0"/>
              <w:spacing w:before="20"/>
              <w:ind w:left="342" w:hanging="328"/>
              <w:rPr>
                <w:color w:val="000000"/>
                <w:sz w:val="16"/>
                <w:szCs w:val="16"/>
              </w:rPr>
            </w:pPr>
            <w:r w:rsidRPr="00825C6B">
              <w:rPr>
                <w:color w:val="000000"/>
                <w:sz w:val="16"/>
                <w:szCs w:val="16"/>
              </w:rPr>
              <w:t>Excluding fluoride and pollutants specific to the Pulp and Paper industry, MWCs, MSW landfills.</w:t>
            </w:r>
          </w:p>
          <w:p w:rsidR="00825C6B" w:rsidRPr="00825C6B" w:rsidRDefault="00825C6B" w:rsidP="00825C6B">
            <w:pPr>
              <w:numPr>
                <w:ilvl w:val="0"/>
                <w:numId w:val="21"/>
              </w:numPr>
              <w:autoSpaceDE w:val="0"/>
              <w:autoSpaceDN w:val="0"/>
              <w:adjustRightInd w:val="0"/>
              <w:ind w:left="342" w:hanging="328"/>
              <w:rPr>
                <w:color w:val="000000"/>
                <w:sz w:val="16"/>
                <w:szCs w:val="16"/>
              </w:rPr>
            </w:pPr>
            <w:r w:rsidRPr="00825C6B">
              <w:rPr>
                <w:color w:val="000000"/>
                <w:sz w:val="16"/>
                <w:szCs w:val="16"/>
              </w:rPr>
              <w:t>Ozone (O</w:t>
            </w:r>
            <w:r w:rsidRPr="00825C6B">
              <w:rPr>
                <w:color w:val="000000"/>
                <w:sz w:val="16"/>
                <w:szCs w:val="16"/>
                <w:vertAlign w:val="subscript"/>
              </w:rPr>
              <w:t>3</w:t>
            </w:r>
            <w:r w:rsidRPr="00825C6B">
              <w:rPr>
                <w:color w:val="000000"/>
                <w:sz w:val="16"/>
                <w:szCs w:val="16"/>
              </w:rPr>
              <w:t>) is regulated by its precursors (VOC and NO</w:t>
            </w:r>
            <w:r w:rsidRPr="00825C6B">
              <w:rPr>
                <w:color w:val="000000"/>
                <w:sz w:val="16"/>
                <w:szCs w:val="16"/>
                <w:vertAlign w:val="subscript"/>
              </w:rPr>
              <w:t>X</w:t>
            </w:r>
            <w:r w:rsidRPr="00825C6B">
              <w:rPr>
                <w:color w:val="000000"/>
                <w:sz w:val="16"/>
                <w:szCs w:val="16"/>
              </w:rPr>
              <w:t>).  PSD for PM</w:t>
            </w:r>
            <w:r w:rsidRPr="00825C6B">
              <w:rPr>
                <w:color w:val="000000"/>
                <w:sz w:val="16"/>
                <w:szCs w:val="16"/>
                <w:vertAlign w:val="subscript"/>
              </w:rPr>
              <w:t>2.5</w:t>
            </w:r>
            <w:r w:rsidRPr="00825C6B">
              <w:rPr>
                <w:color w:val="000000"/>
                <w:sz w:val="16"/>
                <w:szCs w:val="16"/>
              </w:rPr>
              <w:t xml:space="preserve"> can be triggered by its precursors (NO</w:t>
            </w:r>
            <w:r w:rsidRPr="00825C6B">
              <w:rPr>
                <w:color w:val="000000"/>
                <w:sz w:val="16"/>
                <w:szCs w:val="16"/>
                <w:vertAlign w:val="subscript"/>
              </w:rPr>
              <w:t>X</w:t>
            </w:r>
            <w:r w:rsidRPr="00825C6B">
              <w:rPr>
                <w:color w:val="000000"/>
                <w:sz w:val="16"/>
                <w:szCs w:val="16"/>
              </w:rPr>
              <w:t xml:space="preserve"> and SO</w:t>
            </w:r>
            <w:r w:rsidRPr="00825C6B">
              <w:rPr>
                <w:color w:val="000000"/>
                <w:sz w:val="16"/>
                <w:szCs w:val="16"/>
                <w:vertAlign w:val="subscript"/>
              </w:rPr>
              <w:t>2</w:t>
            </w:r>
            <w:r w:rsidRPr="00825C6B">
              <w:rPr>
                <w:color w:val="000000"/>
                <w:sz w:val="16"/>
                <w:szCs w:val="16"/>
              </w:rPr>
              <w:t>).</w:t>
            </w:r>
          </w:p>
          <w:p w:rsidR="00825C6B" w:rsidRPr="00825C6B" w:rsidRDefault="00825C6B" w:rsidP="00825C6B">
            <w:pPr>
              <w:numPr>
                <w:ilvl w:val="0"/>
                <w:numId w:val="21"/>
              </w:numPr>
              <w:autoSpaceDE w:val="0"/>
              <w:autoSpaceDN w:val="0"/>
              <w:adjustRightInd w:val="0"/>
              <w:spacing w:after="20"/>
              <w:ind w:left="345" w:hanging="331"/>
              <w:rPr>
                <w:color w:val="000000"/>
                <w:sz w:val="16"/>
                <w:szCs w:val="16"/>
              </w:rPr>
            </w:pPr>
            <w:r w:rsidRPr="00825C6B">
              <w:rPr>
                <w:color w:val="000000"/>
                <w:sz w:val="16"/>
                <w:szCs w:val="16"/>
              </w:rPr>
              <w:t>Pursuant to 40 CFR 52.21(b</w:t>
            </w:r>
            <w:proofErr w:type="gramStart"/>
            <w:r w:rsidRPr="00825C6B">
              <w:rPr>
                <w:color w:val="000000"/>
                <w:sz w:val="16"/>
                <w:szCs w:val="16"/>
              </w:rPr>
              <w:t>)(</w:t>
            </w:r>
            <w:proofErr w:type="gramEnd"/>
            <w:r w:rsidRPr="00825C6B">
              <w:rPr>
                <w:color w:val="000000"/>
                <w:sz w:val="16"/>
                <w:szCs w:val="16"/>
              </w:rPr>
              <w:t>23)(ii), pollutants with no SER listed at 40 CFR 52.21(b)(23)(</w:t>
            </w:r>
            <w:proofErr w:type="spellStart"/>
            <w:r w:rsidRPr="00825C6B">
              <w:rPr>
                <w:color w:val="000000"/>
                <w:sz w:val="16"/>
                <w:szCs w:val="16"/>
              </w:rPr>
              <w:t>i</w:t>
            </w:r>
            <w:proofErr w:type="spellEnd"/>
            <w:r w:rsidRPr="00825C6B">
              <w:rPr>
                <w:color w:val="000000"/>
                <w:sz w:val="16"/>
                <w:szCs w:val="16"/>
              </w:rPr>
              <w:t>) have a SER of zero tons/year.</w:t>
            </w:r>
          </w:p>
        </w:tc>
      </w:tr>
    </w:tbl>
    <w:p w:rsidR="00193F10" w:rsidRPr="00193F10" w:rsidRDefault="00193F10" w:rsidP="00825C6B">
      <w:pPr>
        <w:pStyle w:val="ListParagraph"/>
        <w:numPr>
          <w:ilvl w:val="1"/>
          <w:numId w:val="19"/>
        </w:numPr>
        <w:spacing w:before="120" w:after="120"/>
        <w:ind w:left="720" w:hanging="720"/>
        <w:contextualSpacing w:val="0"/>
        <w:rPr>
          <w:b/>
          <w:sz w:val="22"/>
        </w:rPr>
      </w:pPr>
      <w:r w:rsidRPr="00193F10">
        <w:rPr>
          <w:b/>
          <w:sz w:val="22"/>
        </w:rPr>
        <w:t>PSD Applicability for Project</w:t>
      </w:r>
    </w:p>
    <w:p w:rsidR="00086DAB" w:rsidRPr="00313419" w:rsidRDefault="008257EF" w:rsidP="00F26370">
      <w:pPr>
        <w:pStyle w:val="BodyText"/>
        <w:widowControl w:val="0"/>
        <w:rPr>
          <w:b/>
          <w:caps/>
          <w:sz w:val="22"/>
          <w:szCs w:val="22"/>
        </w:rPr>
      </w:pPr>
      <w:r w:rsidRPr="00313419">
        <w:rPr>
          <w:sz w:val="22"/>
          <w:szCs w:val="22"/>
        </w:rPr>
        <w:t xml:space="preserve">The project will revise permit conditions to </w:t>
      </w:r>
      <w:r w:rsidR="003A0631" w:rsidRPr="00313419">
        <w:rPr>
          <w:sz w:val="22"/>
          <w:szCs w:val="22"/>
        </w:rPr>
        <w:t xml:space="preserve">reflect the extended cold shutdown status of Units 001, 002 and 003 </w:t>
      </w:r>
      <w:r w:rsidR="00CB6CAF" w:rsidRPr="00313419">
        <w:rPr>
          <w:sz w:val="22"/>
          <w:szCs w:val="22"/>
        </w:rPr>
        <w:t>at the facility</w:t>
      </w:r>
      <w:r w:rsidR="005E4FE3" w:rsidRPr="00313419">
        <w:rPr>
          <w:sz w:val="22"/>
          <w:szCs w:val="22"/>
        </w:rPr>
        <w:t>.</w:t>
      </w:r>
      <w:r w:rsidRPr="00313419">
        <w:rPr>
          <w:sz w:val="22"/>
          <w:szCs w:val="22"/>
        </w:rPr>
        <w:t xml:space="preserve">  There will be </w:t>
      </w:r>
      <w:r w:rsidR="00AD7BDC" w:rsidRPr="00313419">
        <w:rPr>
          <w:sz w:val="22"/>
          <w:szCs w:val="22"/>
        </w:rPr>
        <w:t>no</w:t>
      </w:r>
      <w:r w:rsidRPr="00313419">
        <w:rPr>
          <w:sz w:val="22"/>
          <w:szCs w:val="22"/>
        </w:rPr>
        <w:t xml:space="preserve"> emission</w:t>
      </w:r>
      <w:r w:rsidR="00AD7BDC" w:rsidRPr="00313419">
        <w:rPr>
          <w:sz w:val="22"/>
          <w:szCs w:val="22"/>
        </w:rPr>
        <w:t xml:space="preserve">s increases </w:t>
      </w:r>
      <w:r w:rsidRPr="00313419">
        <w:rPr>
          <w:sz w:val="22"/>
          <w:szCs w:val="22"/>
        </w:rPr>
        <w:t xml:space="preserve">and the project is not subject to PSD preconstruction review.  </w:t>
      </w:r>
    </w:p>
    <w:p w:rsidR="00193F10" w:rsidRDefault="00617209" w:rsidP="00825C6B">
      <w:pPr>
        <w:pStyle w:val="ListParagraph"/>
        <w:numPr>
          <w:ilvl w:val="0"/>
          <w:numId w:val="19"/>
        </w:numPr>
        <w:spacing w:after="120"/>
        <w:ind w:left="720" w:hanging="720"/>
        <w:contextualSpacing w:val="0"/>
        <w:rPr>
          <w:b/>
          <w:caps/>
          <w:sz w:val="22"/>
        </w:rPr>
      </w:pPr>
      <w:r w:rsidRPr="001B338B">
        <w:rPr>
          <w:b/>
          <w:caps/>
          <w:sz w:val="22"/>
        </w:rPr>
        <w:t>Department review</w:t>
      </w:r>
    </w:p>
    <w:p w:rsidR="00A0491D" w:rsidRPr="00825C6B" w:rsidRDefault="00A0491D" w:rsidP="00825C6B">
      <w:pPr>
        <w:pStyle w:val="ListParagraph"/>
        <w:numPr>
          <w:ilvl w:val="1"/>
          <w:numId w:val="19"/>
        </w:numPr>
        <w:spacing w:after="120"/>
        <w:ind w:left="720" w:hanging="720"/>
        <w:contextualSpacing w:val="0"/>
        <w:rPr>
          <w:b/>
          <w:caps/>
          <w:sz w:val="22"/>
        </w:rPr>
      </w:pPr>
      <w:r w:rsidRPr="00A0491D">
        <w:rPr>
          <w:b/>
          <w:sz w:val="22"/>
          <w:szCs w:val="22"/>
        </w:rPr>
        <w:t>Response to Requested Revisions</w:t>
      </w:r>
    </w:p>
    <w:p w:rsidR="005F1494" w:rsidRDefault="00AF2180" w:rsidP="00262733">
      <w:pPr>
        <w:widowControl w:val="0"/>
        <w:spacing w:before="120" w:after="120"/>
        <w:rPr>
          <w:sz w:val="22"/>
          <w:szCs w:val="22"/>
        </w:rPr>
      </w:pPr>
      <w:r w:rsidRPr="00124619">
        <w:rPr>
          <w:sz w:val="22"/>
          <w:szCs w:val="22"/>
        </w:rPr>
        <w:t>T</w:t>
      </w:r>
      <w:r w:rsidR="005C0410" w:rsidRPr="00124619">
        <w:rPr>
          <w:sz w:val="22"/>
          <w:szCs w:val="22"/>
        </w:rPr>
        <w:t xml:space="preserve">he applicant requested changes to </w:t>
      </w:r>
      <w:r w:rsidR="00723C69" w:rsidRPr="00124619">
        <w:rPr>
          <w:sz w:val="22"/>
          <w:szCs w:val="22"/>
        </w:rPr>
        <w:t xml:space="preserve">previous </w:t>
      </w:r>
      <w:r w:rsidR="00E11C8F" w:rsidRPr="00124619">
        <w:rPr>
          <w:sz w:val="22"/>
          <w:szCs w:val="22"/>
        </w:rPr>
        <w:t xml:space="preserve">air </w:t>
      </w:r>
      <w:r w:rsidR="005C0410" w:rsidRPr="00124619">
        <w:rPr>
          <w:sz w:val="22"/>
          <w:szCs w:val="22"/>
        </w:rPr>
        <w:t>construction</w:t>
      </w:r>
      <w:r w:rsidR="0098606D">
        <w:rPr>
          <w:sz w:val="22"/>
          <w:szCs w:val="22"/>
        </w:rPr>
        <w:t xml:space="preserve"> permits as ex</w:t>
      </w:r>
      <w:r w:rsidR="003F6D3A" w:rsidRPr="00124619">
        <w:rPr>
          <w:sz w:val="22"/>
          <w:szCs w:val="22"/>
        </w:rPr>
        <w:t>plained below</w:t>
      </w:r>
      <w:r w:rsidR="005F1494" w:rsidRPr="00124619">
        <w:rPr>
          <w:sz w:val="22"/>
          <w:szCs w:val="22"/>
        </w:rPr>
        <w:t>:</w:t>
      </w:r>
      <w:r w:rsidR="003F6D3A">
        <w:rPr>
          <w:sz w:val="22"/>
          <w:szCs w:val="22"/>
        </w:rPr>
        <w:t xml:space="preserve"> </w:t>
      </w:r>
      <w:r w:rsidR="005C0410">
        <w:rPr>
          <w:sz w:val="22"/>
          <w:szCs w:val="22"/>
        </w:rPr>
        <w:t xml:space="preserve"> </w:t>
      </w:r>
    </w:p>
    <w:p w:rsidR="00B073B0" w:rsidRPr="006E0DBD" w:rsidRDefault="00080F05" w:rsidP="00F4129E">
      <w:pPr>
        <w:widowControl w:val="0"/>
        <w:autoSpaceDE w:val="0"/>
        <w:autoSpaceDN w:val="0"/>
        <w:spacing w:after="120"/>
        <w:ind w:right="72"/>
        <w:jc w:val="both"/>
        <w:rPr>
          <w:sz w:val="22"/>
          <w:szCs w:val="22"/>
        </w:rPr>
      </w:pPr>
      <w:r w:rsidRPr="00080F05">
        <w:rPr>
          <w:sz w:val="22"/>
          <w:szCs w:val="22"/>
        </w:rPr>
        <w:t>OUC has requested the Department’s concurrence with the practice that routine compliance activities such as fuel sampling, emissions monitoring, and stack testing are not required while the facility is not operating</w:t>
      </w:r>
      <w:r w:rsidR="007E7E16">
        <w:rPr>
          <w:sz w:val="22"/>
          <w:szCs w:val="22"/>
        </w:rPr>
        <w:t xml:space="preserve"> (i.e., under an </w:t>
      </w:r>
      <w:r w:rsidR="00F4129E">
        <w:rPr>
          <w:sz w:val="22"/>
          <w:szCs w:val="22"/>
        </w:rPr>
        <w:t xml:space="preserve">“extended cold shutdown”.  </w:t>
      </w:r>
      <w:r w:rsidR="00CB6CAF">
        <w:rPr>
          <w:sz w:val="22"/>
          <w:szCs w:val="22"/>
        </w:rPr>
        <w:t xml:space="preserve">The Department agrees with this revision request.  </w:t>
      </w:r>
      <w:r w:rsidR="00B073B0" w:rsidRPr="006E0DBD">
        <w:rPr>
          <w:sz w:val="22"/>
          <w:szCs w:val="22"/>
        </w:rPr>
        <w:t>To effect th</w:t>
      </w:r>
      <w:r w:rsidR="00CE70C2" w:rsidRPr="006E0DBD">
        <w:rPr>
          <w:sz w:val="22"/>
          <w:szCs w:val="22"/>
        </w:rPr>
        <w:t>e</w:t>
      </w:r>
      <w:r w:rsidR="00B073B0" w:rsidRPr="006E0DBD">
        <w:rPr>
          <w:sz w:val="22"/>
          <w:szCs w:val="22"/>
        </w:rPr>
        <w:t>s</w:t>
      </w:r>
      <w:r w:rsidR="00CE70C2" w:rsidRPr="006E0DBD">
        <w:rPr>
          <w:sz w:val="22"/>
          <w:szCs w:val="22"/>
        </w:rPr>
        <w:t>e</w:t>
      </w:r>
      <w:r w:rsidR="00B073B0" w:rsidRPr="006E0DBD">
        <w:rPr>
          <w:sz w:val="22"/>
          <w:szCs w:val="22"/>
        </w:rPr>
        <w:t xml:space="preserve"> change</w:t>
      </w:r>
      <w:r w:rsidR="00CE70C2" w:rsidRPr="006E0DBD">
        <w:rPr>
          <w:sz w:val="22"/>
          <w:szCs w:val="22"/>
        </w:rPr>
        <w:t>s</w:t>
      </w:r>
      <w:r w:rsidR="00CA7D3B">
        <w:rPr>
          <w:sz w:val="22"/>
          <w:szCs w:val="22"/>
        </w:rPr>
        <w:t>, the specific condition of two prior air construction permits are revised as follows</w:t>
      </w:r>
      <w:r w:rsidR="00B073B0" w:rsidRPr="006E0DBD">
        <w:rPr>
          <w:sz w:val="22"/>
          <w:szCs w:val="22"/>
        </w:rPr>
        <w:t>:</w:t>
      </w:r>
    </w:p>
    <w:p w:rsidR="00080F05" w:rsidRPr="00CA7D3B" w:rsidRDefault="00080F05" w:rsidP="00825C6B">
      <w:pPr>
        <w:numPr>
          <w:ilvl w:val="0"/>
          <w:numId w:val="18"/>
        </w:numPr>
        <w:autoSpaceDE w:val="0"/>
        <w:autoSpaceDN w:val="0"/>
        <w:adjustRightInd w:val="0"/>
        <w:spacing w:after="120"/>
        <w:rPr>
          <w:sz w:val="22"/>
          <w:szCs w:val="22"/>
        </w:rPr>
      </w:pPr>
      <w:r w:rsidRPr="00CA7D3B">
        <w:rPr>
          <w:sz w:val="22"/>
          <w:szCs w:val="22"/>
        </w:rPr>
        <w:t>Specific Condition 2. of 0090</w:t>
      </w:r>
      <w:r w:rsidR="00C72BD0">
        <w:rPr>
          <w:sz w:val="22"/>
          <w:szCs w:val="22"/>
        </w:rPr>
        <w:t>0</w:t>
      </w:r>
      <w:r w:rsidRPr="00CA7D3B">
        <w:rPr>
          <w:sz w:val="22"/>
          <w:szCs w:val="22"/>
        </w:rPr>
        <w:t>08-008-AC is changed as follows:</w:t>
      </w:r>
    </w:p>
    <w:p w:rsidR="00080F05" w:rsidRPr="00CA7D3B" w:rsidRDefault="00080F05" w:rsidP="00080F05">
      <w:pPr>
        <w:autoSpaceDE w:val="0"/>
        <w:autoSpaceDN w:val="0"/>
        <w:adjustRightInd w:val="0"/>
        <w:spacing w:after="120"/>
        <w:rPr>
          <w:sz w:val="22"/>
          <w:szCs w:val="22"/>
        </w:rPr>
      </w:pPr>
      <w:r w:rsidRPr="00CA7D3B">
        <w:rPr>
          <w:b/>
          <w:sz w:val="22"/>
          <w:szCs w:val="22"/>
          <w:u w:val="single"/>
        </w:rPr>
        <w:t>2.</w:t>
      </w:r>
      <w:r w:rsidRPr="00CA7D3B">
        <w:rPr>
          <w:sz w:val="22"/>
          <w:szCs w:val="22"/>
          <w:u w:val="single"/>
        </w:rPr>
        <w:t xml:space="preserve">  Method of Operation – Fuels</w:t>
      </w:r>
      <w:r w:rsidRPr="00CA7D3B">
        <w:rPr>
          <w:sz w:val="22"/>
          <w:szCs w:val="22"/>
        </w:rPr>
        <w:t xml:space="preserve">.  The only fuels allowed to be fired in Boilers 1, 2 &amp; 3 are natural gas and propane gas containing a maximum of 2 grains of sulfur per 100 standard cubic feet.  Compliance with this limitation shall be demonstrated through information provided by the fuel vendor(s).  This limitation supersedes all previously issued permits or established conditions (whether issued to OUC, </w:t>
      </w:r>
      <w:proofErr w:type="spellStart"/>
      <w:r w:rsidRPr="00CA7D3B">
        <w:rPr>
          <w:sz w:val="22"/>
          <w:szCs w:val="22"/>
        </w:rPr>
        <w:t>GenOn</w:t>
      </w:r>
      <w:proofErr w:type="spellEnd"/>
      <w:r w:rsidRPr="00CA7D3B">
        <w:rPr>
          <w:sz w:val="22"/>
          <w:szCs w:val="22"/>
        </w:rPr>
        <w:t xml:space="preserve"> or RRI Energy Florida, LLC) that allowed the firing of No. 2 fuel oil, No. 6 fuel oil and on-specification used oil in these boilers.</w:t>
      </w:r>
    </w:p>
    <w:p w:rsidR="00080F05" w:rsidRPr="00CA7D3B" w:rsidRDefault="00080F05" w:rsidP="00080F05">
      <w:pPr>
        <w:autoSpaceDE w:val="0"/>
        <w:autoSpaceDN w:val="0"/>
        <w:adjustRightInd w:val="0"/>
        <w:rPr>
          <w:sz w:val="22"/>
          <w:szCs w:val="22"/>
          <w:u w:val="double"/>
        </w:rPr>
      </w:pPr>
      <w:r w:rsidRPr="00CA7D3B">
        <w:rPr>
          <w:sz w:val="22"/>
          <w:szCs w:val="22"/>
          <w:highlight w:val="yellow"/>
          <w:u w:val="double"/>
        </w:rPr>
        <w:t>Under “extended cold shutdown” status for the production suspension:  F</w:t>
      </w:r>
      <w:r w:rsidRPr="00CA7D3B">
        <w:rPr>
          <w:color w:val="000000"/>
          <w:sz w:val="22"/>
          <w:szCs w:val="22"/>
          <w:highlight w:val="yellow"/>
          <w:u w:val="double"/>
        </w:rPr>
        <w:t>uel shall be sampled on the last day fuel is fired and shall resume on the first day fuel is fired following the period of not operating.</w:t>
      </w:r>
    </w:p>
    <w:p w:rsidR="00080F05" w:rsidRPr="00C72BD0" w:rsidRDefault="00080F05" w:rsidP="00080F05">
      <w:pPr>
        <w:autoSpaceDE w:val="0"/>
        <w:autoSpaceDN w:val="0"/>
        <w:adjustRightInd w:val="0"/>
        <w:spacing w:after="120"/>
        <w:rPr>
          <w:b/>
          <w:sz w:val="22"/>
          <w:szCs w:val="22"/>
        </w:rPr>
      </w:pPr>
      <w:r w:rsidRPr="00C72BD0">
        <w:rPr>
          <w:sz w:val="22"/>
          <w:szCs w:val="22"/>
        </w:rPr>
        <w:t>[Application No. 0090008-00</w:t>
      </w:r>
      <w:r w:rsidR="00C72BD0" w:rsidRPr="00C72BD0">
        <w:rPr>
          <w:sz w:val="22"/>
          <w:szCs w:val="22"/>
        </w:rPr>
        <w:t>8</w:t>
      </w:r>
      <w:r w:rsidRPr="00C72BD0">
        <w:rPr>
          <w:sz w:val="22"/>
          <w:szCs w:val="22"/>
        </w:rPr>
        <w:t>-AC]</w:t>
      </w:r>
    </w:p>
    <w:p w:rsidR="00080F05" w:rsidRPr="00CA7D3B" w:rsidRDefault="00080F05" w:rsidP="00B75629">
      <w:pPr>
        <w:numPr>
          <w:ilvl w:val="0"/>
          <w:numId w:val="18"/>
        </w:numPr>
        <w:autoSpaceDE w:val="0"/>
        <w:autoSpaceDN w:val="0"/>
        <w:adjustRightInd w:val="0"/>
        <w:spacing w:after="120"/>
        <w:rPr>
          <w:color w:val="000000"/>
          <w:sz w:val="22"/>
          <w:szCs w:val="22"/>
        </w:rPr>
      </w:pPr>
      <w:r w:rsidRPr="00CA7D3B">
        <w:rPr>
          <w:color w:val="000000"/>
          <w:sz w:val="22"/>
          <w:szCs w:val="22"/>
        </w:rPr>
        <w:t>Specific Condition 2. of 0090196-010-AC is changed as follows:</w:t>
      </w:r>
    </w:p>
    <w:p w:rsidR="00080F05" w:rsidRPr="00CA7D3B" w:rsidRDefault="00080F05" w:rsidP="00080F05">
      <w:pPr>
        <w:spacing w:after="120"/>
        <w:rPr>
          <w:sz w:val="22"/>
          <w:szCs w:val="22"/>
        </w:rPr>
      </w:pPr>
      <w:r w:rsidRPr="00CA7D3B">
        <w:rPr>
          <w:b/>
          <w:sz w:val="22"/>
          <w:szCs w:val="22"/>
          <w:u w:val="single"/>
        </w:rPr>
        <w:t>2.</w:t>
      </w:r>
      <w:r w:rsidRPr="00CA7D3B">
        <w:rPr>
          <w:sz w:val="22"/>
          <w:szCs w:val="22"/>
          <w:u w:val="single"/>
        </w:rPr>
        <w:t xml:space="preserve">  Fuel Monitoring</w:t>
      </w:r>
      <w:r w:rsidRPr="00CA7D3B">
        <w:rPr>
          <w:sz w:val="22"/>
          <w:szCs w:val="22"/>
        </w:rPr>
        <w:t>:  The permittee shall calibrate, operate and maintain devices to continuously monitor and record the fuel flow rate and heat input rates.</w:t>
      </w:r>
    </w:p>
    <w:p w:rsidR="00080F05" w:rsidRPr="00CA7D3B" w:rsidRDefault="00080F05" w:rsidP="00080F05">
      <w:pPr>
        <w:autoSpaceDE w:val="0"/>
        <w:autoSpaceDN w:val="0"/>
        <w:adjustRightInd w:val="0"/>
        <w:rPr>
          <w:sz w:val="22"/>
          <w:szCs w:val="22"/>
        </w:rPr>
      </w:pPr>
      <w:r w:rsidRPr="00CA7D3B">
        <w:rPr>
          <w:sz w:val="22"/>
          <w:szCs w:val="22"/>
          <w:highlight w:val="yellow"/>
          <w:u w:val="double"/>
        </w:rPr>
        <w:t>Under “extended cold shutdown” status for the production suspension:  F</w:t>
      </w:r>
      <w:r w:rsidRPr="00CA7D3B">
        <w:rPr>
          <w:color w:val="000000"/>
          <w:sz w:val="22"/>
          <w:szCs w:val="22"/>
          <w:highlight w:val="yellow"/>
          <w:u w:val="double"/>
        </w:rPr>
        <w:t>uel will be sampled on the last day fuel is fired and will resume on the first day fuel is fired following the period of not operating.</w:t>
      </w:r>
    </w:p>
    <w:p w:rsidR="00080F05" w:rsidRPr="00C72BD0" w:rsidRDefault="00080F05" w:rsidP="00080F05">
      <w:pPr>
        <w:spacing w:after="120"/>
        <w:rPr>
          <w:sz w:val="22"/>
          <w:szCs w:val="22"/>
        </w:rPr>
      </w:pPr>
      <w:bookmarkStart w:id="1" w:name="_GoBack"/>
      <w:r w:rsidRPr="00C72BD0">
        <w:rPr>
          <w:sz w:val="22"/>
          <w:szCs w:val="22"/>
        </w:rPr>
        <w:t>[Application No. 0090196-0</w:t>
      </w:r>
      <w:r w:rsidR="00C72BD0" w:rsidRPr="00C72BD0">
        <w:rPr>
          <w:sz w:val="22"/>
          <w:szCs w:val="22"/>
        </w:rPr>
        <w:t>10</w:t>
      </w:r>
      <w:r w:rsidRPr="00C72BD0">
        <w:rPr>
          <w:sz w:val="22"/>
          <w:szCs w:val="22"/>
        </w:rPr>
        <w:t>-AC and Rule 62-4.070(3), F.A.C.]</w:t>
      </w:r>
    </w:p>
    <w:bookmarkEnd w:id="1"/>
    <w:p w:rsidR="00193F10" w:rsidRPr="000B4B28" w:rsidRDefault="00193F10" w:rsidP="00B75629">
      <w:pPr>
        <w:pStyle w:val="ListParagraph"/>
        <w:numPr>
          <w:ilvl w:val="0"/>
          <w:numId w:val="19"/>
        </w:numPr>
        <w:spacing w:after="120"/>
        <w:ind w:left="720" w:hanging="720"/>
        <w:contextualSpacing w:val="0"/>
        <w:rPr>
          <w:b/>
          <w:caps/>
          <w:sz w:val="22"/>
        </w:rPr>
      </w:pPr>
      <w:r w:rsidRPr="000B4B28">
        <w:rPr>
          <w:b/>
          <w:caps/>
          <w:sz w:val="22"/>
        </w:rPr>
        <w:t>Preliminary Determination</w:t>
      </w:r>
    </w:p>
    <w:p w:rsidR="00A26336"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No air quality modeling analysis is required because the project does not result in a sign</w:t>
      </w:r>
      <w:r w:rsidR="005D487C">
        <w:rPr>
          <w:sz w:val="22"/>
        </w:rPr>
        <w:t>ificant increase in emissions.</w:t>
      </w:r>
    </w:p>
    <w:p w:rsidR="00B51301" w:rsidRDefault="0075510E" w:rsidP="00615C34">
      <w:pPr>
        <w:rPr>
          <w:sz w:val="22"/>
        </w:rPr>
      </w:pPr>
      <w:r>
        <w:rPr>
          <w:sz w:val="22"/>
          <w:szCs w:val="22"/>
        </w:rPr>
        <w:t>Tom</w:t>
      </w:r>
      <w:r w:rsidR="00A26336" w:rsidRPr="005D487C">
        <w:rPr>
          <w:sz w:val="22"/>
          <w:szCs w:val="22"/>
        </w:rPr>
        <w:t xml:space="preserve"> </w:t>
      </w:r>
      <w:r>
        <w:rPr>
          <w:sz w:val="22"/>
          <w:szCs w:val="22"/>
        </w:rPr>
        <w:t>Cascio</w:t>
      </w:r>
      <w:r w:rsidR="00A26336" w:rsidRPr="005D487C">
        <w:rPr>
          <w:sz w:val="22"/>
          <w:szCs w:val="22"/>
        </w:rPr>
        <w:t xml:space="preserve"> is the project engineer responsible for reviewing the application and drafting the permit</w:t>
      </w:r>
      <w:r>
        <w:rPr>
          <w:sz w:val="22"/>
          <w:szCs w:val="22"/>
        </w:rPr>
        <w:t xml:space="preserve"> revision</w:t>
      </w:r>
      <w:r w:rsidR="00A26336" w:rsidRPr="005D487C">
        <w:rPr>
          <w:sz w:val="22"/>
          <w:szCs w:val="22"/>
        </w:rPr>
        <w:t>.  Additional details of this analysis may be obtained by contacting him by telephone at 850/</w:t>
      </w:r>
      <w:r w:rsidR="004D5E18">
        <w:rPr>
          <w:sz w:val="22"/>
          <w:szCs w:val="22"/>
        </w:rPr>
        <w:t>717</w:t>
      </w:r>
      <w:r w:rsidR="00A26336" w:rsidRPr="005D487C">
        <w:rPr>
          <w:sz w:val="22"/>
          <w:szCs w:val="22"/>
        </w:rPr>
        <w:t>-9</w:t>
      </w:r>
      <w:r w:rsidR="004D5E18">
        <w:rPr>
          <w:sz w:val="22"/>
          <w:szCs w:val="22"/>
        </w:rPr>
        <w:t>07</w:t>
      </w:r>
      <w:r>
        <w:rPr>
          <w:sz w:val="22"/>
          <w:szCs w:val="22"/>
        </w:rPr>
        <w:t>7</w:t>
      </w:r>
      <w:r w:rsidR="00A26336" w:rsidRPr="005D487C">
        <w:rPr>
          <w:sz w:val="22"/>
          <w:szCs w:val="22"/>
        </w:rPr>
        <w:t xml:space="preserve"> or by e-mail at </w:t>
      </w:r>
      <w:r w:rsidRPr="0075510E">
        <w:rPr>
          <w:sz w:val="22"/>
          <w:szCs w:val="22"/>
          <w:u w:val="single"/>
        </w:rPr>
        <w:t>tom.cascio@dep.state.fl.us</w:t>
      </w:r>
      <w:r w:rsidR="00A26336" w:rsidRPr="005D487C">
        <w:rPr>
          <w:sz w:val="22"/>
          <w:szCs w:val="22"/>
        </w:rPr>
        <w:t xml:space="preserve"> in the Department’s </w:t>
      </w:r>
      <w:r>
        <w:rPr>
          <w:sz w:val="22"/>
          <w:szCs w:val="22"/>
        </w:rPr>
        <w:t xml:space="preserve">Office of Permitting and Compliance </w:t>
      </w:r>
      <w:r w:rsidR="00A26336" w:rsidRPr="005D487C">
        <w:rPr>
          <w:sz w:val="22"/>
          <w:szCs w:val="22"/>
        </w:rPr>
        <w:t>at Mail Station #5505, 2600 Blair Stone Road, Tallahassee, Florida  32399-2400.</w:t>
      </w:r>
    </w:p>
    <w:p w:rsidR="008627E2" w:rsidRDefault="008627E2" w:rsidP="00B51301">
      <w:pPr>
        <w:rPr>
          <w:sz w:val="22"/>
        </w:rPr>
      </w:pPr>
    </w:p>
    <w:sectPr w:rsidR="008627E2" w:rsidSect="00B75629">
      <w:headerReference w:type="default" r:id="rId8"/>
      <w:footerReference w:type="default" r:id="rId9"/>
      <w:pgSz w:w="12240" w:h="15840" w:code="1"/>
      <w:pgMar w:top="720" w:right="1080" w:bottom="900" w:left="1080" w:header="720" w:footer="389"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311" w:rsidRDefault="000B3311">
      <w:r>
        <w:separator/>
      </w:r>
    </w:p>
  </w:endnote>
  <w:endnote w:type="continuationSeparator" w:id="0">
    <w:p w:rsidR="000B3311" w:rsidRDefault="000B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301" w:rsidRPr="00434D45" w:rsidRDefault="00CA7D3B" w:rsidP="00CA3F1E">
    <w:pPr>
      <w:pBdr>
        <w:top w:val="single" w:sz="6" w:space="1" w:color="auto"/>
      </w:pBdr>
      <w:tabs>
        <w:tab w:val="right" w:pos="10080"/>
      </w:tabs>
      <w:spacing w:before="240"/>
    </w:pPr>
    <w:r>
      <w:t>Orlando Utilities Commission</w:t>
    </w:r>
    <w:r w:rsidR="00B51301" w:rsidRPr="00434D45">
      <w:tab/>
      <w:t>Draft Permit No. 0</w:t>
    </w:r>
    <w:r w:rsidR="00BE715F">
      <w:t>090008-009</w:t>
    </w:r>
    <w:r w:rsidR="00B51301" w:rsidRPr="00434D45">
      <w:t>-AC</w:t>
    </w:r>
  </w:p>
  <w:p w:rsidR="00B51301" w:rsidRPr="00434D45" w:rsidRDefault="00CA7D3B" w:rsidP="00434D45">
    <w:pPr>
      <w:tabs>
        <w:tab w:val="right" w:pos="10080"/>
      </w:tabs>
    </w:pPr>
    <w:r>
      <w:t>Indian River Plant</w:t>
    </w:r>
    <w:r w:rsidR="00B51301" w:rsidRPr="00434D45">
      <w:tab/>
      <w:t>Air Construction Permit Revision</w:t>
    </w:r>
  </w:p>
  <w:p w:rsidR="00B51301" w:rsidRDefault="00B51301">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C72BD0">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72BD0">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311" w:rsidRDefault="000B3311">
      <w:r>
        <w:separator/>
      </w:r>
    </w:p>
  </w:footnote>
  <w:footnote w:type="continuationSeparator" w:id="0">
    <w:p w:rsidR="000B3311" w:rsidRDefault="000B3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68B2" w:rsidRPr="00057BD2" w:rsidRDefault="00AE68B2" w:rsidP="00057B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1072E"/>
    <w:multiLevelType w:val="hybridMultilevel"/>
    <w:tmpl w:val="3094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C51A8"/>
    <w:multiLevelType w:val="hybridMultilevel"/>
    <w:tmpl w:val="CF9C1A04"/>
    <w:lvl w:ilvl="0" w:tplc="73C0F782">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7205FE"/>
    <w:multiLevelType w:val="hybridMultilevel"/>
    <w:tmpl w:val="835AA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221EF8"/>
    <w:multiLevelType w:val="hybridMultilevel"/>
    <w:tmpl w:val="9A5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FB80CA7"/>
    <w:multiLevelType w:val="hybridMultilevel"/>
    <w:tmpl w:val="08A2B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F07D64"/>
    <w:multiLevelType w:val="hybridMultilevel"/>
    <w:tmpl w:val="6098FBF2"/>
    <w:lvl w:ilvl="0" w:tplc="6A0CE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F802BC"/>
    <w:multiLevelType w:val="singleLevel"/>
    <w:tmpl w:val="96A4AFD2"/>
    <w:lvl w:ilvl="0">
      <w:start w:val="1"/>
      <w:numFmt w:val="decimal"/>
      <w:lvlText w:val="%1."/>
      <w:lvlJc w:val="left"/>
      <w:pPr>
        <w:tabs>
          <w:tab w:val="num" w:pos="720"/>
        </w:tabs>
        <w:ind w:left="720" w:hanging="720"/>
      </w:pPr>
    </w:lvl>
  </w:abstractNum>
  <w:abstractNum w:abstractNumId="11">
    <w:nsid w:val="5F5C0E88"/>
    <w:multiLevelType w:val="hybridMultilevel"/>
    <w:tmpl w:val="7416EE8C"/>
    <w:lvl w:ilvl="0" w:tplc="C7DE047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684D40"/>
    <w:multiLevelType w:val="hybridMultilevel"/>
    <w:tmpl w:val="CA607D5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6BB4DED"/>
    <w:multiLevelType w:val="hybridMultilevel"/>
    <w:tmpl w:val="4AE0CBD4"/>
    <w:lvl w:ilvl="0" w:tplc="0409000F">
      <w:start w:val="1"/>
      <w:numFmt w:val="decimal"/>
      <w:lvlText w:val="%1."/>
      <w:lvlJc w:val="left"/>
      <w:pPr>
        <w:ind w:left="360" w:hanging="360"/>
      </w:pPr>
    </w:lvl>
    <w:lvl w:ilvl="1" w:tplc="90FECEDC">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161700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55D43AC"/>
    <w:multiLevelType w:val="hybridMultilevel"/>
    <w:tmpl w:val="E4D45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501CF1"/>
    <w:multiLevelType w:val="hybridMultilevel"/>
    <w:tmpl w:val="13168C3A"/>
    <w:lvl w:ilvl="0" w:tplc="90FECED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F64A4"/>
    <w:multiLevelType w:val="hybridMultilevel"/>
    <w:tmpl w:val="4A367FC0"/>
    <w:lvl w:ilvl="0" w:tplc="F8069E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790B5C8F"/>
    <w:multiLevelType w:val="hybridMultilevel"/>
    <w:tmpl w:val="53901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D5904A6"/>
    <w:multiLevelType w:val="hybridMultilevel"/>
    <w:tmpl w:val="6D723B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DC1319C"/>
    <w:multiLevelType w:val="hybridMultilevel"/>
    <w:tmpl w:val="06A41748"/>
    <w:lvl w:ilvl="0" w:tplc="801C2268">
      <w:start w:val="1"/>
      <w:numFmt w:val="decimal"/>
      <w:lvlText w:val="%1."/>
      <w:lvlJc w:val="left"/>
      <w:pPr>
        <w:tabs>
          <w:tab w:val="num" w:pos="1080"/>
        </w:tabs>
        <w:ind w:left="108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2"/>
  </w:num>
  <w:num w:numId="4">
    <w:abstractNumId w:val="5"/>
  </w:num>
  <w:num w:numId="5">
    <w:abstractNumId w:val="7"/>
  </w:num>
  <w:num w:numId="6">
    <w:abstractNumId w:val="13"/>
  </w:num>
  <w:num w:numId="7">
    <w:abstractNumId w:val="9"/>
  </w:num>
  <w:num w:numId="8">
    <w:abstractNumId w:val="12"/>
  </w:num>
  <w:num w:numId="9">
    <w:abstractNumId w:val="17"/>
  </w:num>
  <w:num w:numId="10">
    <w:abstractNumId w:val="4"/>
  </w:num>
  <w:num w:numId="11">
    <w:abstractNumId w:val="10"/>
  </w:num>
  <w:num w:numId="12">
    <w:abstractNumId w:val="20"/>
  </w:num>
  <w:num w:numId="13">
    <w:abstractNumId w:val="15"/>
  </w:num>
  <w:num w:numId="14">
    <w:abstractNumId w:val="1"/>
  </w:num>
  <w:num w:numId="15">
    <w:abstractNumId w:val="3"/>
  </w:num>
  <w:num w:numId="16">
    <w:abstractNumId w:val="16"/>
  </w:num>
  <w:num w:numId="17">
    <w:abstractNumId w:val="11"/>
  </w:num>
  <w:num w:numId="18">
    <w:abstractNumId w:val="0"/>
  </w:num>
  <w:num w:numId="19">
    <w:abstractNumId w:val="14"/>
  </w:num>
  <w:num w:numId="20">
    <w:abstractNumId w:val="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03F3A"/>
    <w:rsid w:val="00004B6A"/>
    <w:rsid w:val="00006F52"/>
    <w:rsid w:val="000151E1"/>
    <w:rsid w:val="00021E95"/>
    <w:rsid w:val="00031B36"/>
    <w:rsid w:val="00033083"/>
    <w:rsid w:val="00037092"/>
    <w:rsid w:val="000375BA"/>
    <w:rsid w:val="00054149"/>
    <w:rsid w:val="00055101"/>
    <w:rsid w:val="00057BD2"/>
    <w:rsid w:val="000732A0"/>
    <w:rsid w:val="00075C37"/>
    <w:rsid w:val="00080F05"/>
    <w:rsid w:val="00086DAB"/>
    <w:rsid w:val="00087F46"/>
    <w:rsid w:val="0009038F"/>
    <w:rsid w:val="00093DFC"/>
    <w:rsid w:val="000A1E71"/>
    <w:rsid w:val="000A7629"/>
    <w:rsid w:val="000B0D81"/>
    <w:rsid w:val="000B2A3B"/>
    <w:rsid w:val="000B3311"/>
    <w:rsid w:val="000B3948"/>
    <w:rsid w:val="000B4B28"/>
    <w:rsid w:val="000C3BCD"/>
    <w:rsid w:val="000C5143"/>
    <w:rsid w:val="000D2DEF"/>
    <w:rsid w:val="000E42D3"/>
    <w:rsid w:val="000E4A2E"/>
    <w:rsid w:val="000E6E76"/>
    <w:rsid w:val="000F6D29"/>
    <w:rsid w:val="000F7969"/>
    <w:rsid w:val="000F7DBF"/>
    <w:rsid w:val="0010212D"/>
    <w:rsid w:val="0011076D"/>
    <w:rsid w:val="00111453"/>
    <w:rsid w:val="001122E8"/>
    <w:rsid w:val="00112C6D"/>
    <w:rsid w:val="0011519C"/>
    <w:rsid w:val="0011640D"/>
    <w:rsid w:val="00122422"/>
    <w:rsid w:val="00124619"/>
    <w:rsid w:val="0012587F"/>
    <w:rsid w:val="0012671C"/>
    <w:rsid w:val="00132844"/>
    <w:rsid w:val="00140CD4"/>
    <w:rsid w:val="00143472"/>
    <w:rsid w:val="00150308"/>
    <w:rsid w:val="00155EB4"/>
    <w:rsid w:val="001613F3"/>
    <w:rsid w:val="001635DD"/>
    <w:rsid w:val="00164E03"/>
    <w:rsid w:val="00173142"/>
    <w:rsid w:val="001771DC"/>
    <w:rsid w:val="00184076"/>
    <w:rsid w:val="00187FDE"/>
    <w:rsid w:val="0019324B"/>
    <w:rsid w:val="00193F10"/>
    <w:rsid w:val="00194AA6"/>
    <w:rsid w:val="001A3C76"/>
    <w:rsid w:val="001A6649"/>
    <w:rsid w:val="001B338B"/>
    <w:rsid w:val="001B3C58"/>
    <w:rsid w:val="001B645D"/>
    <w:rsid w:val="001C4E37"/>
    <w:rsid w:val="001D1649"/>
    <w:rsid w:val="001D37CF"/>
    <w:rsid w:val="001D487F"/>
    <w:rsid w:val="001D51CD"/>
    <w:rsid w:val="001D7CAE"/>
    <w:rsid w:val="001E02BE"/>
    <w:rsid w:val="001E2CD6"/>
    <w:rsid w:val="001E74C6"/>
    <w:rsid w:val="001F158C"/>
    <w:rsid w:val="001F366B"/>
    <w:rsid w:val="0020024F"/>
    <w:rsid w:val="00201860"/>
    <w:rsid w:val="002035FF"/>
    <w:rsid w:val="00204B89"/>
    <w:rsid w:val="002154F5"/>
    <w:rsid w:val="002225DD"/>
    <w:rsid w:val="00226241"/>
    <w:rsid w:val="00246105"/>
    <w:rsid w:val="00253DF6"/>
    <w:rsid w:val="00257BF4"/>
    <w:rsid w:val="002608BA"/>
    <w:rsid w:val="00262733"/>
    <w:rsid w:val="00270C1B"/>
    <w:rsid w:val="002726DA"/>
    <w:rsid w:val="00282DB5"/>
    <w:rsid w:val="002849E1"/>
    <w:rsid w:val="00291C58"/>
    <w:rsid w:val="00294FCF"/>
    <w:rsid w:val="002977DB"/>
    <w:rsid w:val="002A122A"/>
    <w:rsid w:val="002A28C2"/>
    <w:rsid w:val="002A6EA1"/>
    <w:rsid w:val="002B683C"/>
    <w:rsid w:val="002C2C55"/>
    <w:rsid w:val="002C3B01"/>
    <w:rsid w:val="002C50A1"/>
    <w:rsid w:val="002C5688"/>
    <w:rsid w:val="002C5A84"/>
    <w:rsid w:val="002D72EB"/>
    <w:rsid w:val="002E58E0"/>
    <w:rsid w:val="002E6A0B"/>
    <w:rsid w:val="002E758B"/>
    <w:rsid w:val="002F0E6E"/>
    <w:rsid w:val="002F4558"/>
    <w:rsid w:val="00301798"/>
    <w:rsid w:val="00302267"/>
    <w:rsid w:val="0030276A"/>
    <w:rsid w:val="00313300"/>
    <w:rsid w:val="00313419"/>
    <w:rsid w:val="003261A7"/>
    <w:rsid w:val="00327B28"/>
    <w:rsid w:val="0033363A"/>
    <w:rsid w:val="0034315E"/>
    <w:rsid w:val="00343D08"/>
    <w:rsid w:val="003440FC"/>
    <w:rsid w:val="00346552"/>
    <w:rsid w:val="0034713C"/>
    <w:rsid w:val="00360A7A"/>
    <w:rsid w:val="00360B56"/>
    <w:rsid w:val="00361A47"/>
    <w:rsid w:val="00361BF5"/>
    <w:rsid w:val="00362239"/>
    <w:rsid w:val="00362B27"/>
    <w:rsid w:val="00372BDB"/>
    <w:rsid w:val="00373DF9"/>
    <w:rsid w:val="00380D68"/>
    <w:rsid w:val="00381194"/>
    <w:rsid w:val="003824E7"/>
    <w:rsid w:val="00384481"/>
    <w:rsid w:val="003858DE"/>
    <w:rsid w:val="003876B9"/>
    <w:rsid w:val="0039067D"/>
    <w:rsid w:val="003919BB"/>
    <w:rsid w:val="0039482F"/>
    <w:rsid w:val="003A0631"/>
    <w:rsid w:val="003A13F3"/>
    <w:rsid w:val="003A3C29"/>
    <w:rsid w:val="003B13E6"/>
    <w:rsid w:val="003B1E0A"/>
    <w:rsid w:val="003B2F9B"/>
    <w:rsid w:val="003C2DCB"/>
    <w:rsid w:val="003C2E6A"/>
    <w:rsid w:val="003C3D95"/>
    <w:rsid w:val="003C672F"/>
    <w:rsid w:val="003D6EAE"/>
    <w:rsid w:val="003E4B8C"/>
    <w:rsid w:val="003E504C"/>
    <w:rsid w:val="003E6252"/>
    <w:rsid w:val="003E683A"/>
    <w:rsid w:val="003E6FDC"/>
    <w:rsid w:val="003F1AFB"/>
    <w:rsid w:val="003F6D3A"/>
    <w:rsid w:val="004023B7"/>
    <w:rsid w:val="0040283C"/>
    <w:rsid w:val="00404361"/>
    <w:rsid w:val="00404E59"/>
    <w:rsid w:val="00406714"/>
    <w:rsid w:val="00406982"/>
    <w:rsid w:val="00412CE4"/>
    <w:rsid w:val="00423D4D"/>
    <w:rsid w:val="0043123B"/>
    <w:rsid w:val="004323DF"/>
    <w:rsid w:val="00434D45"/>
    <w:rsid w:val="004414F2"/>
    <w:rsid w:val="00446FE7"/>
    <w:rsid w:val="00450B4B"/>
    <w:rsid w:val="00454613"/>
    <w:rsid w:val="00460AC4"/>
    <w:rsid w:val="00460CED"/>
    <w:rsid w:val="0046254E"/>
    <w:rsid w:val="00470B2E"/>
    <w:rsid w:val="004731EE"/>
    <w:rsid w:val="004734C9"/>
    <w:rsid w:val="00474EB0"/>
    <w:rsid w:val="00476FD4"/>
    <w:rsid w:val="00481A67"/>
    <w:rsid w:val="00482CAA"/>
    <w:rsid w:val="0048416C"/>
    <w:rsid w:val="00484C33"/>
    <w:rsid w:val="00486BE3"/>
    <w:rsid w:val="004A0FB1"/>
    <w:rsid w:val="004B466B"/>
    <w:rsid w:val="004B5185"/>
    <w:rsid w:val="004C0984"/>
    <w:rsid w:val="004C211D"/>
    <w:rsid w:val="004C3D4C"/>
    <w:rsid w:val="004D1D9F"/>
    <w:rsid w:val="004D4D83"/>
    <w:rsid w:val="004D5E18"/>
    <w:rsid w:val="004E0179"/>
    <w:rsid w:val="004E0689"/>
    <w:rsid w:val="004E48C8"/>
    <w:rsid w:val="004E5131"/>
    <w:rsid w:val="004E5EB7"/>
    <w:rsid w:val="004F1B2D"/>
    <w:rsid w:val="00505CD8"/>
    <w:rsid w:val="005120C9"/>
    <w:rsid w:val="0052136A"/>
    <w:rsid w:val="00522578"/>
    <w:rsid w:val="00525301"/>
    <w:rsid w:val="00526CCE"/>
    <w:rsid w:val="00530D7A"/>
    <w:rsid w:val="00532B16"/>
    <w:rsid w:val="00535614"/>
    <w:rsid w:val="00544A8A"/>
    <w:rsid w:val="00546A5F"/>
    <w:rsid w:val="0055601F"/>
    <w:rsid w:val="0056436B"/>
    <w:rsid w:val="00566942"/>
    <w:rsid w:val="00573D01"/>
    <w:rsid w:val="0057638D"/>
    <w:rsid w:val="00577200"/>
    <w:rsid w:val="00592F36"/>
    <w:rsid w:val="00597133"/>
    <w:rsid w:val="005A1E27"/>
    <w:rsid w:val="005A5172"/>
    <w:rsid w:val="005B411F"/>
    <w:rsid w:val="005C0410"/>
    <w:rsid w:val="005C6DCB"/>
    <w:rsid w:val="005D21AB"/>
    <w:rsid w:val="005D487C"/>
    <w:rsid w:val="005E2618"/>
    <w:rsid w:val="005E2993"/>
    <w:rsid w:val="005E36E4"/>
    <w:rsid w:val="005E4FE3"/>
    <w:rsid w:val="005F1494"/>
    <w:rsid w:val="005F4B16"/>
    <w:rsid w:val="00600E33"/>
    <w:rsid w:val="0060484C"/>
    <w:rsid w:val="006102AB"/>
    <w:rsid w:val="0061096A"/>
    <w:rsid w:val="00610D35"/>
    <w:rsid w:val="006116E4"/>
    <w:rsid w:val="00612FF2"/>
    <w:rsid w:val="0061378D"/>
    <w:rsid w:val="00615267"/>
    <w:rsid w:val="00615C34"/>
    <w:rsid w:val="00617209"/>
    <w:rsid w:val="006277AD"/>
    <w:rsid w:val="006306D5"/>
    <w:rsid w:val="00650142"/>
    <w:rsid w:val="0065214A"/>
    <w:rsid w:val="0065248D"/>
    <w:rsid w:val="00653194"/>
    <w:rsid w:val="006536B9"/>
    <w:rsid w:val="00654816"/>
    <w:rsid w:val="00655B13"/>
    <w:rsid w:val="00670C8C"/>
    <w:rsid w:val="0067101B"/>
    <w:rsid w:val="00674B76"/>
    <w:rsid w:val="00675B10"/>
    <w:rsid w:val="00684184"/>
    <w:rsid w:val="00686486"/>
    <w:rsid w:val="00697730"/>
    <w:rsid w:val="006A2244"/>
    <w:rsid w:val="006A6818"/>
    <w:rsid w:val="006B10DA"/>
    <w:rsid w:val="006B2427"/>
    <w:rsid w:val="006B489C"/>
    <w:rsid w:val="006B6EFE"/>
    <w:rsid w:val="006C0C5B"/>
    <w:rsid w:val="006C2070"/>
    <w:rsid w:val="006C5DA5"/>
    <w:rsid w:val="006D1F2C"/>
    <w:rsid w:val="006D3FE4"/>
    <w:rsid w:val="006D430D"/>
    <w:rsid w:val="006D4BF8"/>
    <w:rsid w:val="006E0DBD"/>
    <w:rsid w:val="006E7E51"/>
    <w:rsid w:val="006E7F87"/>
    <w:rsid w:val="006F2951"/>
    <w:rsid w:val="006F44FB"/>
    <w:rsid w:val="006F74F3"/>
    <w:rsid w:val="00700D49"/>
    <w:rsid w:val="00701FEF"/>
    <w:rsid w:val="00704D65"/>
    <w:rsid w:val="00711137"/>
    <w:rsid w:val="0071213A"/>
    <w:rsid w:val="0071252F"/>
    <w:rsid w:val="00712A34"/>
    <w:rsid w:val="007153BC"/>
    <w:rsid w:val="00722146"/>
    <w:rsid w:val="00722BC5"/>
    <w:rsid w:val="00723941"/>
    <w:rsid w:val="00723C69"/>
    <w:rsid w:val="00727609"/>
    <w:rsid w:val="007340CB"/>
    <w:rsid w:val="00737FD2"/>
    <w:rsid w:val="00741F1A"/>
    <w:rsid w:val="0074367D"/>
    <w:rsid w:val="00744B64"/>
    <w:rsid w:val="007457BE"/>
    <w:rsid w:val="00746B51"/>
    <w:rsid w:val="00752BC7"/>
    <w:rsid w:val="0075404D"/>
    <w:rsid w:val="0075510E"/>
    <w:rsid w:val="007553DD"/>
    <w:rsid w:val="00760AB7"/>
    <w:rsid w:val="00762E18"/>
    <w:rsid w:val="007740B4"/>
    <w:rsid w:val="007747AA"/>
    <w:rsid w:val="00782ABD"/>
    <w:rsid w:val="00786837"/>
    <w:rsid w:val="007A22AF"/>
    <w:rsid w:val="007A25E5"/>
    <w:rsid w:val="007A4523"/>
    <w:rsid w:val="007A5E72"/>
    <w:rsid w:val="007B3A9B"/>
    <w:rsid w:val="007B5B75"/>
    <w:rsid w:val="007B7EF7"/>
    <w:rsid w:val="007C2A6F"/>
    <w:rsid w:val="007C523C"/>
    <w:rsid w:val="007D2DD8"/>
    <w:rsid w:val="007E5CA3"/>
    <w:rsid w:val="007E7E16"/>
    <w:rsid w:val="007F0614"/>
    <w:rsid w:val="007F62E2"/>
    <w:rsid w:val="007F7B7E"/>
    <w:rsid w:val="00800417"/>
    <w:rsid w:val="008025B9"/>
    <w:rsid w:val="008061CE"/>
    <w:rsid w:val="008132CB"/>
    <w:rsid w:val="008139D0"/>
    <w:rsid w:val="008143D5"/>
    <w:rsid w:val="008150CA"/>
    <w:rsid w:val="008257EF"/>
    <w:rsid w:val="00825C6B"/>
    <w:rsid w:val="0083046D"/>
    <w:rsid w:val="008323A6"/>
    <w:rsid w:val="008347E9"/>
    <w:rsid w:val="00835018"/>
    <w:rsid w:val="00836FF5"/>
    <w:rsid w:val="008409B1"/>
    <w:rsid w:val="00841CEA"/>
    <w:rsid w:val="00845C9D"/>
    <w:rsid w:val="00852407"/>
    <w:rsid w:val="008603FF"/>
    <w:rsid w:val="00861ED3"/>
    <w:rsid w:val="008627E2"/>
    <w:rsid w:val="008673D3"/>
    <w:rsid w:val="0087086B"/>
    <w:rsid w:val="00872049"/>
    <w:rsid w:val="008760B9"/>
    <w:rsid w:val="00876F54"/>
    <w:rsid w:val="008849DE"/>
    <w:rsid w:val="00886F75"/>
    <w:rsid w:val="00892E8B"/>
    <w:rsid w:val="0089763D"/>
    <w:rsid w:val="008A2A74"/>
    <w:rsid w:val="008A6292"/>
    <w:rsid w:val="008A63F4"/>
    <w:rsid w:val="008A7DEA"/>
    <w:rsid w:val="008B1ECB"/>
    <w:rsid w:val="008B43BB"/>
    <w:rsid w:val="008B4D21"/>
    <w:rsid w:val="008B703A"/>
    <w:rsid w:val="008C11C0"/>
    <w:rsid w:val="008C1A21"/>
    <w:rsid w:val="008C280D"/>
    <w:rsid w:val="008C7C67"/>
    <w:rsid w:val="008D06B8"/>
    <w:rsid w:val="008D5BA2"/>
    <w:rsid w:val="008E1EA9"/>
    <w:rsid w:val="008F0390"/>
    <w:rsid w:val="008F1D82"/>
    <w:rsid w:val="0090112E"/>
    <w:rsid w:val="009072D9"/>
    <w:rsid w:val="009100B7"/>
    <w:rsid w:val="0091054E"/>
    <w:rsid w:val="00913A9F"/>
    <w:rsid w:val="00915F63"/>
    <w:rsid w:val="0091713A"/>
    <w:rsid w:val="00922138"/>
    <w:rsid w:val="00924048"/>
    <w:rsid w:val="0092507E"/>
    <w:rsid w:val="00925112"/>
    <w:rsid w:val="00927A84"/>
    <w:rsid w:val="0093238E"/>
    <w:rsid w:val="009339AA"/>
    <w:rsid w:val="00941F64"/>
    <w:rsid w:val="00943B60"/>
    <w:rsid w:val="00943F4C"/>
    <w:rsid w:val="00945CE8"/>
    <w:rsid w:val="009469E1"/>
    <w:rsid w:val="00947A91"/>
    <w:rsid w:val="00952563"/>
    <w:rsid w:val="00952707"/>
    <w:rsid w:val="00954BD2"/>
    <w:rsid w:val="00955781"/>
    <w:rsid w:val="00957B60"/>
    <w:rsid w:val="009647B6"/>
    <w:rsid w:val="00966B02"/>
    <w:rsid w:val="009672BD"/>
    <w:rsid w:val="00970559"/>
    <w:rsid w:val="00975E28"/>
    <w:rsid w:val="00985A68"/>
    <w:rsid w:val="0098606D"/>
    <w:rsid w:val="009862EA"/>
    <w:rsid w:val="00993E28"/>
    <w:rsid w:val="009A0918"/>
    <w:rsid w:val="009A1794"/>
    <w:rsid w:val="009B0D03"/>
    <w:rsid w:val="009B14D0"/>
    <w:rsid w:val="009B27B8"/>
    <w:rsid w:val="009B32D2"/>
    <w:rsid w:val="009B5BBD"/>
    <w:rsid w:val="009C1C32"/>
    <w:rsid w:val="009C4B34"/>
    <w:rsid w:val="009D7348"/>
    <w:rsid w:val="009E0A05"/>
    <w:rsid w:val="009E19FE"/>
    <w:rsid w:val="009E4E9D"/>
    <w:rsid w:val="009F3E30"/>
    <w:rsid w:val="009F6BFE"/>
    <w:rsid w:val="00A03219"/>
    <w:rsid w:val="00A03595"/>
    <w:rsid w:val="00A045F0"/>
    <w:rsid w:val="00A0491D"/>
    <w:rsid w:val="00A06F30"/>
    <w:rsid w:val="00A154C1"/>
    <w:rsid w:val="00A165A7"/>
    <w:rsid w:val="00A17B0D"/>
    <w:rsid w:val="00A209D4"/>
    <w:rsid w:val="00A26336"/>
    <w:rsid w:val="00A300C9"/>
    <w:rsid w:val="00A35721"/>
    <w:rsid w:val="00A415F4"/>
    <w:rsid w:val="00A44423"/>
    <w:rsid w:val="00A45698"/>
    <w:rsid w:val="00A464F4"/>
    <w:rsid w:val="00A5029A"/>
    <w:rsid w:val="00A54906"/>
    <w:rsid w:val="00A64C14"/>
    <w:rsid w:val="00A64F23"/>
    <w:rsid w:val="00A72ACC"/>
    <w:rsid w:val="00A74F95"/>
    <w:rsid w:val="00A75707"/>
    <w:rsid w:val="00A803EB"/>
    <w:rsid w:val="00A87326"/>
    <w:rsid w:val="00A938D5"/>
    <w:rsid w:val="00A948F3"/>
    <w:rsid w:val="00AA07BF"/>
    <w:rsid w:val="00AA12A8"/>
    <w:rsid w:val="00AB19E2"/>
    <w:rsid w:val="00AB1B38"/>
    <w:rsid w:val="00AB605D"/>
    <w:rsid w:val="00AC17CD"/>
    <w:rsid w:val="00AC5212"/>
    <w:rsid w:val="00AC5B0F"/>
    <w:rsid w:val="00AD1820"/>
    <w:rsid w:val="00AD27D9"/>
    <w:rsid w:val="00AD7BDC"/>
    <w:rsid w:val="00AE462F"/>
    <w:rsid w:val="00AE68B2"/>
    <w:rsid w:val="00AF0F88"/>
    <w:rsid w:val="00AF2180"/>
    <w:rsid w:val="00AF22BD"/>
    <w:rsid w:val="00AF4078"/>
    <w:rsid w:val="00AF5780"/>
    <w:rsid w:val="00AF5B27"/>
    <w:rsid w:val="00AF6114"/>
    <w:rsid w:val="00B000D3"/>
    <w:rsid w:val="00B0442B"/>
    <w:rsid w:val="00B073B0"/>
    <w:rsid w:val="00B103DE"/>
    <w:rsid w:val="00B10464"/>
    <w:rsid w:val="00B1061D"/>
    <w:rsid w:val="00B20D60"/>
    <w:rsid w:val="00B31584"/>
    <w:rsid w:val="00B31F91"/>
    <w:rsid w:val="00B431DC"/>
    <w:rsid w:val="00B438F8"/>
    <w:rsid w:val="00B4794F"/>
    <w:rsid w:val="00B51301"/>
    <w:rsid w:val="00B52730"/>
    <w:rsid w:val="00B54D44"/>
    <w:rsid w:val="00B60D09"/>
    <w:rsid w:val="00B62FFC"/>
    <w:rsid w:val="00B64AF3"/>
    <w:rsid w:val="00B65C75"/>
    <w:rsid w:val="00B672A8"/>
    <w:rsid w:val="00B6752D"/>
    <w:rsid w:val="00B74040"/>
    <w:rsid w:val="00B75629"/>
    <w:rsid w:val="00B7612C"/>
    <w:rsid w:val="00B82255"/>
    <w:rsid w:val="00B86169"/>
    <w:rsid w:val="00B91579"/>
    <w:rsid w:val="00B945B3"/>
    <w:rsid w:val="00BA0BF2"/>
    <w:rsid w:val="00BA270F"/>
    <w:rsid w:val="00BB054E"/>
    <w:rsid w:val="00BB1087"/>
    <w:rsid w:val="00BB15DA"/>
    <w:rsid w:val="00BB442C"/>
    <w:rsid w:val="00BB4DC6"/>
    <w:rsid w:val="00BC5729"/>
    <w:rsid w:val="00BD5BC2"/>
    <w:rsid w:val="00BD643C"/>
    <w:rsid w:val="00BE0988"/>
    <w:rsid w:val="00BE0F0E"/>
    <w:rsid w:val="00BE1C2D"/>
    <w:rsid w:val="00BE715F"/>
    <w:rsid w:val="00BF002F"/>
    <w:rsid w:val="00BF22CD"/>
    <w:rsid w:val="00C02BEB"/>
    <w:rsid w:val="00C0334F"/>
    <w:rsid w:val="00C03940"/>
    <w:rsid w:val="00C05F77"/>
    <w:rsid w:val="00C06C6D"/>
    <w:rsid w:val="00C07622"/>
    <w:rsid w:val="00C116A7"/>
    <w:rsid w:val="00C17BC4"/>
    <w:rsid w:val="00C206B2"/>
    <w:rsid w:val="00C20AC4"/>
    <w:rsid w:val="00C20EA4"/>
    <w:rsid w:val="00C27013"/>
    <w:rsid w:val="00C2768D"/>
    <w:rsid w:val="00C30EFF"/>
    <w:rsid w:val="00C326E5"/>
    <w:rsid w:val="00C361F5"/>
    <w:rsid w:val="00C40D08"/>
    <w:rsid w:val="00C4385D"/>
    <w:rsid w:val="00C44F21"/>
    <w:rsid w:val="00C502D1"/>
    <w:rsid w:val="00C5765E"/>
    <w:rsid w:val="00C6156F"/>
    <w:rsid w:val="00C61ABA"/>
    <w:rsid w:val="00C626B8"/>
    <w:rsid w:val="00C62FAD"/>
    <w:rsid w:val="00C66E7D"/>
    <w:rsid w:val="00C72BD0"/>
    <w:rsid w:val="00C7510F"/>
    <w:rsid w:val="00C805BF"/>
    <w:rsid w:val="00C9350A"/>
    <w:rsid w:val="00C97848"/>
    <w:rsid w:val="00C97C87"/>
    <w:rsid w:val="00CA3B66"/>
    <w:rsid w:val="00CA3F1E"/>
    <w:rsid w:val="00CA7D3B"/>
    <w:rsid w:val="00CB016A"/>
    <w:rsid w:val="00CB02AC"/>
    <w:rsid w:val="00CB2BE3"/>
    <w:rsid w:val="00CB6CAF"/>
    <w:rsid w:val="00CB711E"/>
    <w:rsid w:val="00CD01E1"/>
    <w:rsid w:val="00CD4AE2"/>
    <w:rsid w:val="00CD6A32"/>
    <w:rsid w:val="00CE0717"/>
    <w:rsid w:val="00CE28EF"/>
    <w:rsid w:val="00CE70C2"/>
    <w:rsid w:val="00CF1516"/>
    <w:rsid w:val="00CF3D82"/>
    <w:rsid w:val="00D076E2"/>
    <w:rsid w:val="00D07B72"/>
    <w:rsid w:val="00D166C2"/>
    <w:rsid w:val="00D1773B"/>
    <w:rsid w:val="00D222D5"/>
    <w:rsid w:val="00D226B0"/>
    <w:rsid w:val="00D24F36"/>
    <w:rsid w:val="00D262B1"/>
    <w:rsid w:val="00D313DE"/>
    <w:rsid w:val="00D4398E"/>
    <w:rsid w:val="00D45EA7"/>
    <w:rsid w:val="00D50DB9"/>
    <w:rsid w:val="00D51D78"/>
    <w:rsid w:val="00D5562A"/>
    <w:rsid w:val="00D61412"/>
    <w:rsid w:val="00D70033"/>
    <w:rsid w:val="00D727AB"/>
    <w:rsid w:val="00D73976"/>
    <w:rsid w:val="00D747A6"/>
    <w:rsid w:val="00D76DC8"/>
    <w:rsid w:val="00D84C39"/>
    <w:rsid w:val="00D90DF3"/>
    <w:rsid w:val="00D95AD6"/>
    <w:rsid w:val="00DA06FA"/>
    <w:rsid w:val="00DA3DFB"/>
    <w:rsid w:val="00DA4D8D"/>
    <w:rsid w:val="00DA75D0"/>
    <w:rsid w:val="00DB4E11"/>
    <w:rsid w:val="00DC02F0"/>
    <w:rsid w:val="00DC77F5"/>
    <w:rsid w:val="00DD2EB0"/>
    <w:rsid w:val="00DF014C"/>
    <w:rsid w:val="00DF3BB8"/>
    <w:rsid w:val="00DF4822"/>
    <w:rsid w:val="00DF79DB"/>
    <w:rsid w:val="00E0040A"/>
    <w:rsid w:val="00E05E94"/>
    <w:rsid w:val="00E11C8F"/>
    <w:rsid w:val="00E175E6"/>
    <w:rsid w:val="00E17616"/>
    <w:rsid w:val="00E1794D"/>
    <w:rsid w:val="00E20BE7"/>
    <w:rsid w:val="00E251F4"/>
    <w:rsid w:val="00E27F64"/>
    <w:rsid w:val="00E303D6"/>
    <w:rsid w:val="00E331EE"/>
    <w:rsid w:val="00E42819"/>
    <w:rsid w:val="00E44174"/>
    <w:rsid w:val="00E443D3"/>
    <w:rsid w:val="00E47479"/>
    <w:rsid w:val="00E50051"/>
    <w:rsid w:val="00E51901"/>
    <w:rsid w:val="00E56C3C"/>
    <w:rsid w:val="00E57551"/>
    <w:rsid w:val="00E607EE"/>
    <w:rsid w:val="00E6099F"/>
    <w:rsid w:val="00E715E2"/>
    <w:rsid w:val="00E75800"/>
    <w:rsid w:val="00E80E2F"/>
    <w:rsid w:val="00E84B3B"/>
    <w:rsid w:val="00E8711C"/>
    <w:rsid w:val="00E90D67"/>
    <w:rsid w:val="00E932D7"/>
    <w:rsid w:val="00EA021A"/>
    <w:rsid w:val="00EA7000"/>
    <w:rsid w:val="00EB354A"/>
    <w:rsid w:val="00EC0FE3"/>
    <w:rsid w:val="00EC2093"/>
    <w:rsid w:val="00EC344E"/>
    <w:rsid w:val="00EC52B5"/>
    <w:rsid w:val="00ED12BB"/>
    <w:rsid w:val="00ED143D"/>
    <w:rsid w:val="00ED728A"/>
    <w:rsid w:val="00EE0968"/>
    <w:rsid w:val="00EE2068"/>
    <w:rsid w:val="00EE2330"/>
    <w:rsid w:val="00EE398F"/>
    <w:rsid w:val="00EE6112"/>
    <w:rsid w:val="00EF1FB2"/>
    <w:rsid w:val="00EF4FAC"/>
    <w:rsid w:val="00F051B7"/>
    <w:rsid w:val="00F10924"/>
    <w:rsid w:val="00F16BC9"/>
    <w:rsid w:val="00F213BD"/>
    <w:rsid w:val="00F25767"/>
    <w:rsid w:val="00F2577B"/>
    <w:rsid w:val="00F26370"/>
    <w:rsid w:val="00F26590"/>
    <w:rsid w:val="00F32962"/>
    <w:rsid w:val="00F336BF"/>
    <w:rsid w:val="00F411C1"/>
    <w:rsid w:val="00F4129E"/>
    <w:rsid w:val="00F4258D"/>
    <w:rsid w:val="00F42954"/>
    <w:rsid w:val="00F43FA2"/>
    <w:rsid w:val="00F45CF7"/>
    <w:rsid w:val="00F473BD"/>
    <w:rsid w:val="00F53C31"/>
    <w:rsid w:val="00F542C1"/>
    <w:rsid w:val="00F576B0"/>
    <w:rsid w:val="00F65312"/>
    <w:rsid w:val="00F71458"/>
    <w:rsid w:val="00F77D22"/>
    <w:rsid w:val="00F81459"/>
    <w:rsid w:val="00FA02EF"/>
    <w:rsid w:val="00FB34F8"/>
    <w:rsid w:val="00FB4891"/>
    <w:rsid w:val="00FB623D"/>
    <w:rsid w:val="00FB6A5F"/>
    <w:rsid w:val="00FB7742"/>
    <w:rsid w:val="00FC01F2"/>
    <w:rsid w:val="00FC2CC1"/>
    <w:rsid w:val="00FC4438"/>
    <w:rsid w:val="00FC6E6C"/>
    <w:rsid w:val="00FC78F7"/>
    <w:rsid w:val="00FD3A85"/>
    <w:rsid w:val="00FD5CCD"/>
    <w:rsid w:val="00FE1D7E"/>
    <w:rsid w:val="00FE36B6"/>
    <w:rsid w:val="00FE7919"/>
    <w:rsid w:val="00FF6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D9F09C00-F4FF-4175-96D4-96D67A4E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after="120"/>
      <w:ind w:left="634"/>
      <w:outlineLvl w:val="0"/>
    </w:pPr>
    <w:rPr>
      <w:sz w:val="28"/>
    </w:rPr>
  </w:style>
  <w:style w:type="paragraph" w:styleId="Heading2">
    <w:name w:val="heading 2"/>
    <w:basedOn w:val="Normal"/>
    <w:next w:val="Normal"/>
    <w:qFormat/>
    <w:pPr>
      <w:keepNext/>
      <w:ind w:left="630"/>
      <w:outlineLvl w:val="1"/>
    </w:pPr>
    <w:rPr>
      <w:i/>
      <w:sz w:val="23"/>
    </w:rPr>
  </w:style>
  <w:style w:type="paragraph" w:styleId="Heading3">
    <w:name w:val="heading 3"/>
    <w:basedOn w:val="Normal"/>
    <w:next w:val="Normal"/>
    <w:qFormat/>
    <w:pPr>
      <w:keepNext/>
      <w:jc w:val="center"/>
      <w:outlineLvl w:val="2"/>
    </w:pPr>
    <w:rPr>
      <w:sz w:val="28"/>
    </w:rPr>
  </w:style>
  <w:style w:type="paragraph" w:styleId="Heading4">
    <w:name w:val="heading 4"/>
    <w:basedOn w:val="Normal"/>
    <w:next w:val="Normal"/>
    <w:qFormat/>
    <w:pPr>
      <w:keepNext/>
      <w:jc w:val="center"/>
      <w:outlineLvl w:val="3"/>
    </w:pPr>
    <w:rPr>
      <w:b/>
      <w:sz w:val="22"/>
    </w:rPr>
  </w:style>
  <w:style w:type="paragraph" w:styleId="Heading5">
    <w:name w:val="heading 5"/>
    <w:basedOn w:val="Normal"/>
    <w:next w:val="Normal"/>
    <w:qFormat/>
    <w:pPr>
      <w:keepNext/>
      <w:spacing w:after="120"/>
      <w:ind w:left="720"/>
      <w:outlineLvl w:val="4"/>
    </w:pPr>
    <w:rPr>
      <w:b/>
      <w:sz w:val="22"/>
    </w:rPr>
  </w:style>
  <w:style w:type="paragraph" w:styleId="Heading6">
    <w:name w:val="heading 6"/>
    <w:basedOn w:val="Normal"/>
    <w:next w:val="Normal"/>
    <w:qFormat/>
    <w:pPr>
      <w:keepNext/>
      <w:jc w:val="center"/>
      <w:outlineLvl w:val="5"/>
    </w:pPr>
    <w:rPr>
      <w:b/>
      <w:sz w:val="24"/>
    </w:rPr>
  </w:style>
  <w:style w:type="paragraph" w:styleId="Heading7">
    <w:name w:val="heading 7"/>
    <w:basedOn w:val="Normal"/>
    <w:next w:val="Normal"/>
    <w:qFormat/>
    <w:pPr>
      <w:keepNext/>
      <w:tabs>
        <w:tab w:val="right" w:pos="9648"/>
      </w:tabs>
      <w:spacing w:after="120" w:line="240" w:lineRule="exact"/>
      <w:ind w:left="630"/>
      <w:outlineLvl w:val="6"/>
    </w:pPr>
    <w:rPr>
      <w:b/>
      <w:sz w:val="22"/>
    </w:rPr>
  </w:style>
  <w:style w:type="paragraph" w:styleId="Heading8">
    <w:name w:val="heading 8"/>
    <w:basedOn w:val="Normal"/>
    <w:next w:val="Normal"/>
    <w:qFormat/>
    <w:pPr>
      <w:keepNext/>
      <w:spacing w:after="120"/>
      <w:outlineLvl w:val="7"/>
    </w:pPr>
    <w:rPr>
      <w:b/>
      <w:caps/>
      <w:sz w:val="22"/>
    </w:rPr>
  </w:style>
  <w:style w:type="paragraph" w:styleId="Heading9">
    <w:name w:val="heading 9"/>
    <w:basedOn w:val="Normal"/>
    <w:next w:val="Normal"/>
    <w:qFormat/>
    <w:pPr>
      <w:keepNext/>
      <w:spacing w:after="120"/>
      <w:ind w:left="360"/>
      <w:outlineLvl w:val="8"/>
    </w:pPr>
    <w:rPr>
      <w:sz w:val="22"/>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semiHidden/>
    <w:rPr>
      <w:vertAlign w:val="superscript"/>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link w:val="FooterChar"/>
    <w:pPr>
      <w:tabs>
        <w:tab w:val="center" w:pos="4320"/>
        <w:tab w:val="right" w:pos="8640"/>
      </w:tabs>
    </w:pPr>
  </w:style>
  <w:style w:type="paragraph" w:styleId="BodyTextIndent">
    <w:name w:val="Body Text Indent"/>
    <w:basedOn w:val="Normal"/>
    <w:pPr>
      <w:spacing w:after="120"/>
      <w:ind w:left="634"/>
    </w:pPr>
    <w:rPr>
      <w:sz w:val="24"/>
    </w:rPr>
  </w:style>
  <w:style w:type="paragraph" w:styleId="BodyTextIndent2">
    <w:name w:val="Body Text Indent 2"/>
    <w:basedOn w:val="Normal"/>
    <w:pPr>
      <w:tabs>
        <w:tab w:val="left" w:pos="630"/>
      </w:tabs>
      <w:spacing w:after="120"/>
      <w:ind w:left="630"/>
    </w:pPr>
    <w:rPr>
      <w:sz w:val="24"/>
    </w:rPr>
  </w:style>
  <w:style w:type="paragraph" w:styleId="BodyTextIndent3">
    <w:name w:val="Body Text Indent 3"/>
    <w:basedOn w:val="Normal"/>
    <w:pPr>
      <w:spacing w:before="240" w:after="120"/>
      <w:ind w:left="634"/>
      <w:jc w:val="center"/>
    </w:pPr>
    <w:rPr>
      <w:caps/>
      <w:sz w:val="24"/>
    </w:rPr>
  </w:style>
  <w:style w:type="paragraph" w:styleId="BodyText2">
    <w:name w:val="Body Text 2"/>
    <w:basedOn w:val="Normal"/>
    <w:pPr>
      <w:numPr>
        <w:ilvl w:val="12"/>
      </w:numPr>
      <w:spacing w:after="120"/>
      <w:jc w:val="both"/>
    </w:pPr>
    <w:rPr>
      <w:sz w:val="22"/>
    </w:rPr>
  </w:style>
  <w:style w:type="paragraph" w:styleId="Title">
    <w:name w:val="Title"/>
    <w:basedOn w:val="Normal"/>
    <w:qFormat/>
    <w:pPr>
      <w:jc w:val="center"/>
    </w:pPr>
    <w:rPr>
      <w:b/>
      <w:sz w:val="24"/>
    </w:rPr>
  </w:style>
  <w:style w:type="paragraph" w:styleId="BodyText">
    <w:name w:val="Body Text"/>
    <w:aliases w:val="SCA Body Text,SCA Body Text1,SCA Body Text2,SCA Body Text11,BodyText-JEA,BT-JEA"/>
    <w:basedOn w:val="Normal"/>
    <w:pPr>
      <w:spacing w:after="120"/>
    </w:pPr>
    <w:rPr>
      <w:sz w:val="24"/>
    </w:rPr>
  </w:style>
  <w:style w:type="paragraph" w:styleId="BodyText3">
    <w:name w:val="Body Text 3"/>
    <w:basedOn w:val="Normal"/>
    <w:pPr>
      <w:spacing w:before="120" w:after="120"/>
    </w:pPr>
    <w:rPr>
      <w:sz w:val="22"/>
    </w:rPr>
  </w:style>
  <w:style w:type="paragraph" w:customStyle="1" w:styleId="Style4">
    <w:name w:val="Style4"/>
    <w:next w:val="Normal"/>
    <w:rPr>
      <w:noProof/>
      <w:sz w:val="24"/>
    </w:rPr>
  </w:style>
  <w:style w:type="paragraph" w:styleId="BlockText">
    <w:name w:val="Block Text"/>
    <w:basedOn w:val="Normal"/>
    <w:pPr>
      <w:spacing w:after="120"/>
      <w:ind w:left="720" w:right="43"/>
      <w:jc w:val="both"/>
    </w:pPr>
    <w:rPr>
      <w:sz w:val="22"/>
    </w:rPr>
  </w:style>
  <w:style w:type="character" w:styleId="Hyperlink">
    <w:name w:val="Hyperlink"/>
    <w:rPr>
      <w:color w:val="0000FF"/>
      <w:u w:val="single"/>
    </w:rPr>
  </w:style>
  <w:style w:type="paragraph" w:customStyle="1" w:styleId="SCATableHeading">
    <w:name w:val="SCA Table Heading"/>
    <w:basedOn w:val="Normal"/>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table" w:styleId="TableGrid">
    <w:name w:val="Table Grid"/>
    <w:basedOn w:val="TableNormal"/>
    <w:rsid w:val="00975E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link w:val="Footer"/>
    <w:semiHidden/>
    <w:locked/>
    <w:rsid w:val="007A4523"/>
    <w:rPr>
      <w:lang w:val="en-US" w:eastAsia="en-US" w:bidi="ar-SA"/>
    </w:rPr>
  </w:style>
  <w:style w:type="paragraph" w:styleId="BalloonText">
    <w:name w:val="Balloon Text"/>
    <w:basedOn w:val="Normal"/>
    <w:link w:val="BalloonTextChar"/>
    <w:rsid w:val="00597133"/>
    <w:rPr>
      <w:rFonts w:ascii="Tahoma" w:hAnsi="Tahoma" w:cs="Tahoma"/>
      <w:sz w:val="16"/>
      <w:szCs w:val="16"/>
    </w:rPr>
  </w:style>
  <w:style w:type="character" w:customStyle="1" w:styleId="BalloonTextChar">
    <w:name w:val="Balloon Text Char"/>
    <w:link w:val="BalloonText"/>
    <w:rsid w:val="00597133"/>
    <w:rPr>
      <w:rFonts w:ascii="Tahoma" w:hAnsi="Tahoma" w:cs="Tahoma"/>
      <w:sz w:val="16"/>
      <w:szCs w:val="16"/>
    </w:rPr>
  </w:style>
  <w:style w:type="character" w:styleId="Strong">
    <w:name w:val="Strong"/>
    <w:uiPriority w:val="22"/>
    <w:qFormat/>
    <w:rsid w:val="0011076D"/>
    <w:rPr>
      <w:b/>
      <w:bCs/>
    </w:rPr>
  </w:style>
  <w:style w:type="paragraph" w:styleId="ListParagraph">
    <w:name w:val="List Paragraph"/>
    <w:basedOn w:val="Normal"/>
    <w:uiPriority w:val="34"/>
    <w:qFormat/>
    <w:rsid w:val="00EF1F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053226">
      <w:bodyDiv w:val="1"/>
      <w:marLeft w:val="0"/>
      <w:marRight w:val="0"/>
      <w:marTop w:val="0"/>
      <w:marBottom w:val="0"/>
      <w:divBdr>
        <w:top w:val="none" w:sz="0" w:space="0" w:color="auto"/>
        <w:left w:val="none" w:sz="0" w:space="0" w:color="auto"/>
        <w:bottom w:val="none" w:sz="0" w:space="0" w:color="auto"/>
        <w:right w:val="none" w:sz="0" w:space="0" w:color="auto"/>
      </w:divBdr>
    </w:div>
    <w:div w:id="139068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4</Pages>
  <Words>1797</Words>
  <Characters>10244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12017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Read, David</cp:lastModifiedBy>
  <cp:revision>6</cp:revision>
  <cp:lastPrinted>2011-10-06T12:16:00Z</cp:lastPrinted>
  <dcterms:created xsi:type="dcterms:W3CDTF">2014-07-02T11:54:00Z</dcterms:created>
  <dcterms:modified xsi:type="dcterms:W3CDTF">2014-07-02T14:22:00Z</dcterms:modified>
</cp:coreProperties>
</file>